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46A2471C" w14:textId="77777777" w:rsidTr="00345750">
        <w:tc>
          <w:tcPr>
            <w:tcW w:w="1776" w:type="pct"/>
          </w:tcPr>
          <w:p w14:paraId="25762083"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3FCA155C" w14:textId="77777777" w:rsidR="00087150" w:rsidRPr="00125368" w:rsidRDefault="00322636" w:rsidP="00A7349E">
            <w:pPr>
              <w:jc w:val="both"/>
              <w:rPr>
                <w:rFonts w:cs="Arial"/>
                <w:szCs w:val="22"/>
              </w:rPr>
            </w:pPr>
            <w:r>
              <w:rPr>
                <w:rFonts w:cs="Arial"/>
                <w:szCs w:val="22"/>
              </w:rPr>
              <w:t xml:space="preserve">Senior </w:t>
            </w:r>
            <w:r w:rsidR="00A7349E">
              <w:rPr>
                <w:rFonts w:cs="Arial"/>
                <w:szCs w:val="22"/>
              </w:rPr>
              <w:t xml:space="preserve">Teaching Fellow </w:t>
            </w:r>
            <w:r w:rsidR="00BA731F">
              <w:rPr>
                <w:rFonts w:cs="Arial"/>
                <w:szCs w:val="22"/>
              </w:rPr>
              <w:t xml:space="preserve"> </w:t>
            </w:r>
          </w:p>
        </w:tc>
      </w:tr>
      <w:tr w:rsidR="00087150" w:rsidRPr="00125368" w14:paraId="6139D09D" w14:textId="77777777" w:rsidTr="00345750">
        <w:tc>
          <w:tcPr>
            <w:tcW w:w="1776" w:type="pct"/>
          </w:tcPr>
          <w:p w14:paraId="5A8ECB19"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33125453" w14:textId="77777777" w:rsidR="00087150" w:rsidRPr="00125368" w:rsidRDefault="00087150" w:rsidP="002057C4">
            <w:pPr>
              <w:jc w:val="both"/>
              <w:rPr>
                <w:rFonts w:cs="Arial"/>
                <w:szCs w:val="22"/>
              </w:rPr>
            </w:pPr>
          </w:p>
        </w:tc>
      </w:tr>
      <w:tr w:rsidR="00087150" w:rsidRPr="00125368" w14:paraId="0905A8AA" w14:textId="77777777" w:rsidTr="00345750">
        <w:tc>
          <w:tcPr>
            <w:tcW w:w="1776" w:type="pct"/>
          </w:tcPr>
          <w:p w14:paraId="0204F66C"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136E497B" w14:textId="77777777" w:rsidR="00087150" w:rsidRPr="00125368" w:rsidRDefault="00087150" w:rsidP="00D41EEC">
            <w:pPr>
              <w:jc w:val="both"/>
              <w:rPr>
                <w:rFonts w:cs="Arial"/>
                <w:szCs w:val="22"/>
              </w:rPr>
            </w:pPr>
          </w:p>
        </w:tc>
      </w:tr>
      <w:tr w:rsidR="00087150" w:rsidRPr="00125368" w14:paraId="2113C7E4" w14:textId="77777777" w:rsidTr="00345750">
        <w:tc>
          <w:tcPr>
            <w:tcW w:w="1776" w:type="pct"/>
          </w:tcPr>
          <w:p w14:paraId="392435FC" w14:textId="3A476213" w:rsidR="00087150" w:rsidRPr="00125368" w:rsidRDefault="00087150" w:rsidP="000B7FF4">
            <w:pPr>
              <w:spacing w:line="360" w:lineRule="auto"/>
              <w:rPr>
                <w:rFonts w:cs="Arial"/>
                <w:b/>
                <w:szCs w:val="22"/>
              </w:rPr>
            </w:pPr>
            <w:r w:rsidRPr="00125368">
              <w:rPr>
                <w:rFonts w:cs="Arial"/>
                <w:b/>
                <w:szCs w:val="22"/>
              </w:rPr>
              <w:t>Job Family/</w:t>
            </w:r>
            <w:r w:rsidR="00521CF1">
              <w:rPr>
                <w:rFonts w:cs="Arial"/>
                <w:b/>
                <w:szCs w:val="22"/>
              </w:rPr>
              <w:t>Grade</w:t>
            </w:r>
            <w:r w:rsidRPr="00125368">
              <w:rPr>
                <w:rFonts w:cs="Arial"/>
                <w:b/>
                <w:szCs w:val="22"/>
              </w:rPr>
              <w:t xml:space="preserve">:                           </w:t>
            </w:r>
          </w:p>
        </w:tc>
        <w:tc>
          <w:tcPr>
            <w:tcW w:w="3224" w:type="pct"/>
          </w:tcPr>
          <w:p w14:paraId="3D37CF2D" w14:textId="10AEF918" w:rsidR="00087150" w:rsidRPr="00125368" w:rsidRDefault="00521CF1" w:rsidP="00322636">
            <w:pPr>
              <w:jc w:val="both"/>
              <w:rPr>
                <w:rFonts w:cs="Arial"/>
                <w:szCs w:val="22"/>
              </w:rPr>
            </w:pPr>
            <w:r>
              <w:rPr>
                <w:rFonts w:cs="Arial"/>
                <w:szCs w:val="22"/>
              </w:rPr>
              <w:t>Senior Teaching Fellow</w:t>
            </w:r>
          </w:p>
        </w:tc>
      </w:tr>
      <w:tr w:rsidR="00087150" w:rsidRPr="00125368" w14:paraId="19BFEA9E" w14:textId="77777777" w:rsidTr="00345750">
        <w:tc>
          <w:tcPr>
            <w:tcW w:w="1776" w:type="pct"/>
          </w:tcPr>
          <w:p w14:paraId="0EE847CE"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00175260" w14:textId="77777777" w:rsidR="00087150" w:rsidRPr="00125368" w:rsidRDefault="00087150" w:rsidP="00B46358">
            <w:pPr>
              <w:jc w:val="both"/>
              <w:rPr>
                <w:rFonts w:cs="Arial"/>
                <w:szCs w:val="22"/>
              </w:rPr>
            </w:pPr>
          </w:p>
        </w:tc>
      </w:tr>
      <w:tr w:rsidR="00087150" w:rsidRPr="00125368" w14:paraId="2643B9A0" w14:textId="77777777" w:rsidTr="00345750">
        <w:tc>
          <w:tcPr>
            <w:tcW w:w="1776" w:type="pct"/>
          </w:tcPr>
          <w:p w14:paraId="72987CA6"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5EF2DE36" w14:textId="77777777" w:rsidR="00087150" w:rsidRPr="00125368" w:rsidRDefault="00087150" w:rsidP="000E6F44">
            <w:pPr>
              <w:jc w:val="both"/>
              <w:rPr>
                <w:rFonts w:cs="Arial"/>
                <w:szCs w:val="22"/>
              </w:rPr>
            </w:pPr>
          </w:p>
        </w:tc>
      </w:tr>
      <w:tr w:rsidR="00087150" w:rsidRPr="00125368" w14:paraId="1530755A" w14:textId="77777777" w:rsidTr="00345750">
        <w:tc>
          <w:tcPr>
            <w:tcW w:w="1776" w:type="pct"/>
          </w:tcPr>
          <w:p w14:paraId="0F34FA35"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7E6F76E0" w14:textId="77777777" w:rsidR="00087150" w:rsidRPr="00125368" w:rsidRDefault="00087150" w:rsidP="00C21CCF">
            <w:pPr>
              <w:jc w:val="both"/>
              <w:rPr>
                <w:rFonts w:cs="Arial"/>
                <w:szCs w:val="22"/>
              </w:rPr>
            </w:pPr>
          </w:p>
        </w:tc>
      </w:tr>
      <w:tr w:rsidR="00087150" w:rsidRPr="00125368" w14:paraId="7C3B2940" w14:textId="77777777" w:rsidTr="00345750">
        <w:tc>
          <w:tcPr>
            <w:tcW w:w="1776" w:type="pct"/>
          </w:tcPr>
          <w:p w14:paraId="7F12A87A"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09D645A9" w14:textId="77777777" w:rsidR="00087150" w:rsidRPr="00125368" w:rsidRDefault="00087150" w:rsidP="00A8329E">
            <w:pPr>
              <w:jc w:val="both"/>
              <w:rPr>
                <w:rFonts w:cs="Arial"/>
                <w:szCs w:val="22"/>
              </w:rPr>
            </w:pPr>
          </w:p>
        </w:tc>
      </w:tr>
      <w:tr w:rsidR="00087150" w:rsidRPr="00125368" w14:paraId="0BF659BE" w14:textId="77777777" w:rsidTr="00345750">
        <w:tc>
          <w:tcPr>
            <w:tcW w:w="1776" w:type="pct"/>
          </w:tcPr>
          <w:p w14:paraId="04AA79AF"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1B0AE4C0" w14:textId="77777777" w:rsidR="00087150" w:rsidRPr="00125368" w:rsidRDefault="00087150" w:rsidP="00B46358">
            <w:pPr>
              <w:jc w:val="both"/>
              <w:rPr>
                <w:rFonts w:cs="Arial"/>
                <w:szCs w:val="22"/>
              </w:rPr>
            </w:pPr>
          </w:p>
        </w:tc>
      </w:tr>
    </w:tbl>
    <w:p w14:paraId="04DD8626"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6E9D85A2" w14:textId="77777777" w:rsidTr="006240D5">
        <w:tc>
          <w:tcPr>
            <w:tcW w:w="10774" w:type="dxa"/>
            <w:shd w:val="clear" w:color="auto" w:fill="auto"/>
          </w:tcPr>
          <w:p w14:paraId="41701527" w14:textId="77777777" w:rsidR="00A02B6A" w:rsidRPr="00125368" w:rsidRDefault="00A02B6A" w:rsidP="006240D5">
            <w:pPr>
              <w:jc w:val="both"/>
              <w:rPr>
                <w:rFonts w:cs="Arial"/>
                <w:b/>
                <w:szCs w:val="22"/>
              </w:rPr>
            </w:pPr>
            <w:r w:rsidRPr="00125368">
              <w:rPr>
                <w:rFonts w:cs="Arial"/>
                <w:b/>
                <w:szCs w:val="22"/>
              </w:rPr>
              <w:t>Purpose of the Post</w:t>
            </w:r>
          </w:p>
          <w:p w14:paraId="03E85F99" w14:textId="77777777" w:rsidR="00A02B6A" w:rsidRPr="00125368" w:rsidRDefault="00A02B6A" w:rsidP="006240D5">
            <w:pPr>
              <w:jc w:val="both"/>
              <w:rPr>
                <w:rFonts w:cs="Arial"/>
                <w:b/>
                <w:szCs w:val="22"/>
              </w:rPr>
            </w:pPr>
          </w:p>
          <w:p w14:paraId="04A82FAD"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4339B113" w14:textId="77777777" w:rsidR="001E5CAC" w:rsidRPr="001E5CAC" w:rsidRDefault="001E5CAC" w:rsidP="001E5CAC">
            <w:pPr>
              <w:jc w:val="both"/>
              <w:rPr>
                <w:rFonts w:cs="Arial"/>
                <w:szCs w:val="22"/>
              </w:rPr>
            </w:pPr>
          </w:p>
          <w:p w14:paraId="174B0CB5"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35333753" w14:textId="77777777" w:rsidR="001E5CAC" w:rsidRPr="001E5CAC" w:rsidRDefault="001E5CAC" w:rsidP="001E5CAC">
            <w:pPr>
              <w:jc w:val="both"/>
              <w:rPr>
                <w:rFonts w:cs="Arial"/>
                <w:szCs w:val="22"/>
              </w:rPr>
            </w:pPr>
          </w:p>
          <w:p w14:paraId="08DE2E24"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4E9CDD64" w14:textId="77777777" w:rsidR="00A02B6A" w:rsidRDefault="00A02B6A" w:rsidP="006240D5">
            <w:pPr>
              <w:jc w:val="both"/>
              <w:rPr>
                <w:rFonts w:cs="Arial"/>
                <w:szCs w:val="22"/>
              </w:rPr>
            </w:pPr>
          </w:p>
          <w:p w14:paraId="72E615A6"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7FD976B7"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54AC3C98" w14:textId="77777777" w:rsidR="0032705E" w:rsidRPr="00125368" w:rsidRDefault="0032705E" w:rsidP="0032705E">
            <w:pPr>
              <w:jc w:val="both"/>
              <w:rPr>
                <w:rFonts w:cs="Arial"/>
                <w:szCs w:val="22"/>
              </w:rPr>
            </w:pPr>
          </w:p>
        </w:tc>
      </w:tr>
      <w:tr w:rsidR="00A02B6A" w:rsidRPr="00125368" w14:paraId="17CFC1FE" w14:textId="77777777" w:rsidTr="00125368">
        <w:tc>
          <w:tcPr>
            <w:tcW w:w="10774" w:type="dxa"/>
            <w:tcBorders>
              <w:bottom w:val="single" w:sz="4" w:space="0" w:color="auto"/>
            </w:tcBorders>
            <w:shd w:val="clear" w:color="auto" w:fill="auto"/>
          </w:tcPr>
          <w:p w14:paraId="2C1C7FB4"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5C5BECF0" w14:textId="77777777" w:rsidR="006709B5" w:rsidRDefault="006709B5" w:rsidP="006240D5">
            <w:pPr>
              <w:jc w:val="both"/>
              <w:rPr>
                <w:rFonts w:cs="Arial"/>
                <w:b/>
                <w:szCs w:val="22"/>
              </w:rPr>
            </w:pPr>
          </w:p>
          <w:p w14:paraId="4D9D9724" w14:textId="77777777" w:rsidR="006709B5" w:rsidRDefault="0074268F" w:rsidP="006240D5">
            <w:pPr>
              <w:jc w:val="both"/>
              <w:rPr>
                <w:rFonts w:cs="Arial"/>
                <w:szCs w:val="22"/>
              </w:rPr>
            </w:pPr>
            <w:r w:rsidRPr="0074268F">
              <w:rPr>
                <w:rFonts w:cs="Arial"/>
                <w:szCs w:val="22"/>
              </w:rPr>
              <w:t>Contribution to the College's Educational Mission</w:t>
            </w:r>
          </w:p>
          <w:p w14:paraId="31BC25C2" w14:textId="77777777" w:rsidR="0074268F" w:rsidRPr="0074268F" w:rsidRDefault="0074268F" w:rsidP="006240D5">
            <w:pPr>
              <w:jc w:val="both"/>
              <w:rPr>
                <w:rFonts w:cs="Arial"/>
                <w:szCs w:val="22"/>
              </w:rPr>
            </w:pPr>
          </w:p>
          <w:p w14:paraId="1A01499D"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Set and assess the work (including examinations and coursework) and progress of students using appropriate methods and criteria. Provide constructive and timely feedback on essays and course assessments. Use innovative approaches to providing feedback</w:t>
            </w:r>
          </w:p>
          <w:p w14:paraId="3E71C01C"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Undertake course administration duties, such as organisation of teaching activities, coordination of internal/visiting lecturers, attendance records, Health &amp; Safety matters, etc</w:t>
            </w:r>
          </w:p>
          <w:p w14:paraId="2CE3D53B"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Supervise undergraduate and postgraduate student projects, field trips and placements</w:t>
            </w:r>
          </w:p>
          <w:p w14:paraId="3B77F0DB"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Contribute to the delivery of a teaching programme or programmes, applying knowledge acquired from scholarship to own teaching practice</w:t>
            </w:r>
          </w:p>
          <w:p w14:paraId="035FD2C9"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Undertake teaching, including lectures and academic tutorials, using appropriate teaching, learning support and assessment methods</w:t>
            </w:r>
          </w:p>
          <w:p w14:paraId="0E26189A"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lastRenderedPageBreak/>
              <w:t>Hold departmental position in teaching e.g. Senior Tutor; module/course/year organiser. Undertake other specific departmental roles as may be required</w:t>
            </w:r>
          </w:p>
          <w:p w14:paraId="668A8C88" w14:textId="77777777" w:rsidR="00322636" w:rsidRPr="00322636" w:rsidRDefault="00322636" w:rsidP="0074268F">
            <w:pPr>
              <w:pStyle w:val="ListParagraph"/>
              <w:numPr>
                <w:ilvl w:val="0"/>
                <w:numId w:val="39"/>
              </w:numPr>
              <w:jc w:val="both"/>
              <w:rPr>
                <w:rFonts w:cs="Arial"/>
                <w:szCs w:val="22"/>
              </w:rPr>
            </w:pPr>
            <w:r w:rsidRPr="00322636">
              <w:rPr>
                <w:rFonts w:cs="Arial"/>
                <w:color w:val="000000"/>
                <w:szCs w:val="22"/>
              </w:rPr>
              <w:t>Design, organise and run laboratory classes</w:t>
            </w:r>
          </w:p>
          <w:p w14:paraId="6C3E2D46" w14:textId="77777777" w:rsidR="00322636" w:rsidRDefault="00322636" w:rsidP="00322636">
            <w:pPr>
              <w:jc w:val="both"/>
              <w:rPr>
                <w:rFonts w:cs="Arial"/>
                <w:szCs w:val="22"/>
              </w:rPr>
            </w:pPr>
          </w:p>
          <w:p w14:paraId="285BB78A" w14:textId="77777777" w:rsidR="0074268F" w:rsidRDefault="0074268F" w:rsidP="0074268F">
            <w:pPr>
              <w:jc w:val="both"/>
              <w:rPr>
                <w:rFonts w:cs="Arial"/>
                <w:szCs w:val="22"/>
              </w:rPr>
            </w:pPr>
          </w:p>
          <w:p w14:paraId="619CEC31"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5C1E0371" w14:textId="77777777" w:rsidR="00D76B40" w:rsidRPr="00D76B40" w:rsidRDefault="00D76B40" w:rsidP="00D76B40">
            <w:pPr>
              <w:jc w:val="both"/>
              <w:rPr>
                <w:rFonts w:cs="Arial"/>
                <w:szCs w:val="22"/>
              </w:rPr>
            </w:pPr>
          </w:p>
          <w:p w14:paraId="0676F89F" w14:textId="77777777" w:rsidR="00322636" w:rsidRPr="00322636" w:rsidRDefault="00322636" w:rsidP="00AB3E6E">
            <w:pPr>
              <w:pStyle w:val="ListParagraph"/>
              <w:numPr>
                <w:ilvl w:val="0"/>
                <w:numId w:val="42"/>
              </w:numPr>
              <w:jc w:val="both"/>
              <w:rPr>
                <w:rFonts w:cs="Arial"/>
                <w:szCs w:val="22"/>
              </w:rPr>
            </w:pPr>
            <w:r w:rsidRPr="00322636">
              <w:rPr>
                <w:rFonts w:cs="Arial"/>
                <w:color w:val="000000"/>
                <w:szCs w:val="22"/>
              </w:rPr>
              <w:t>Contribute to the process of securing internal or external funding for teaching initiatives or scholarship</w:t>
            </w:r>
          </w:p>
          <w:p w14:paraId="1D2C94D3" w14:textId="77777777" w:rsidR="00322636" w:rsidRPr="00322636" w:rsidRDefault="00322636" w:rsidP="00AB3E6E">
            <w:pPr>
              <w:pStyle w:val="ListParagraph"/>
              <w:numPr>
                <w:ilvl w:val="0"/>
                <w:numId w:val="42"/>
              </w:numPr>
              <w:jc w:val="both"/>
              <w:rPr>
                <w:rFonts w:cs="Arial"/>
                <w:szCs w:val="22"/>
              </w:rPr>
            </w:pPr>
            <w:r w:rsidRPr="00322636">
              <w:rPr>
                <w:rFonts w:cs="Arial"/>
                <w:color w:val="000000"/>
                <w:szCs w:val="22"/>
              </w:rPr>
              <w:t>Engage in scholarly activities related to subject area and higher education practice</w:t>
            </w:r>
          </w:p>
          <w:p w14:paraId="52562ACF" w14:textId="77777777" w:rsidR="00322636" w:rsidRPr="00322636" w:rsidRDefault="00322636" w:rsidP="00322636">
            <w:pPr>
              <w:pStyle w:val="ListParagraph"/>
              <w:jc w:val="both"/>
              <w:rPr>
                <w:rFonts w:cs="Arial"/>
                <w:szCs w:val="22"/>
              </w:rPr>
            </w:pPr>
          </w:p>
          <w:p w14:paraId="4EB51DF7" w14:textId="77777777" w:rsidR="00D76B40" w:rsidRPr="00D76B40" w:rsidRDefault="00D76B40" w:rsidP="00D76B40">
            <w:pPr>
              <w:jc w:val="both"/>
              <w:rPr>
                <w:rFonts w:cs="Arial"/>
                <w:i/>
                <w:szCs w:val="22"/>
              </w:rPr>
            </w:pPr>
            <w:r>
              <w:rPr>
                <w:rFonts w:cs="Arial"/>
                <w:szCs w:val="22"/>
              </w:rPr>
              <w:t>Leadership and Management</w:t>
            </w:r>
          </w:p>
          <w:p w14:paraId="154B739C" w14:textId="77777777" w:rsidR="00D76B40" w:rsidRPr="00D76B40" w:rsidRDefault="00D76B40" w:rsidP="00D76B40">
            <w:pPr>
              <w:jc w:val="both"/>
              <w:rPr>
                <w:rFonts w:cs="Arial"/>
                <w:szCs w:val="22"/>
              </w:rPr>
            </w:pPr>
          </w:p>
          <w:p w14:paraId="0A9EEA36" w14:textId="77777777" w:rsidR="00AB3E6E" w:rsidRDefault="00AB3E6E" w:rsidP="00D76B40">
            <w:pPr>
              <w:pStyle w:val="ListParagraph"/>
              <w:numPr>
                <w:ilvl w:val="0"/>
                <w:numId w:val="40"/>
              </w:numPr>
              <w:jc w:val="both"/>
              <w:rPr>
                <w:rFonts w:cs="Arial"/>
                <w:szCs w:val="22"/>
              </w:rPr>
            </w:pPr>
            <w:r>
              <w:rPr>
                <w:rFonts w:cs="Arial"/>
                <w:szCs w:val="22"/>
              </w:rPr>
              <w:t>To manage and develop staff as appropriate</w:t>
            </w:r>
          </w:p>
          <w:p w14:paraId="0D8BD87C" w14:textId="77777777" w:rsidR="00D76B40" w:rsidRPr="00D76B40" w:rsidRDefault="00D76B40" w:rsidP="00D76B40">
            <w:pPr>
              <w:jc w:val="both"/>
              <w:rPr>
                <w:rFonts w:cs="Arial"/>
                <w:szCs w:val="22"/>
              </w:rPr>
            </w:pPr>
          </w:p>
          <w:p w14:paraId="48FCCFBC" w14:textId="77777777" w:rsidR="0075141D" w:rsidRPr="0075141D" w:rsidRDefault="0075141D" w:rsidP="0075141D">
            <w:pPr>
              <w:jc w:val="both"/>
              <w:rPr>
                <w:rFonts w:cs="Arial"/>
                <w:szCs w:val="22"/>
              </w:rPr>
            </w:pPr>
            <w:r w:rsidRPr="0075141D">
              <w:rPr>
                <w:rFonts w:cs="Arial"/>
                <w:szCs w:val="22"/>
              </w:rPr>
              <w:t>Profession and Practice</w:t>
            </w:r>
          </w:p>
          <w:p w14:paraId="25BA2C1A" w14:textId="77777777" w:rsidR="0075141D" w:rsidRPr="0075141D" w:rsidRDefault="0075141D" w:rsidP="0075141D">
            <w:pPr>
              <w:jc w:val="both"/>
              <w:rPr>
                <w:rFonts w:cs="Arial"/>
                <w:szCs w:val="22"/>
              </w:rPr>
            </w:pPr>
          </w:p>
          <w:p w14:paraId="723A9BE3" w14:textId="77777777" w:rsidR="00322636" w:rsidRPr="00322636" w:rsidRDefault="00322636" w:rsidP="00F5330A">
            <w:pPr>
              <w:pStyle w:val="ListParagraph"/>
              <w:numPr>
                <w:ilvl w:val="0"/>
                <w:numId w:val="40"/>
              </w:numPr>
              <w:jc w:val="both"/>
              <w:rPr>
                <w:rFonts w:cs="Arial"/>
                <w:szCs w:val="22"/>
              </w:rPr>
            </w:pPr>
            <w:r w:rsidRPr="00322636">
              <w:rPr>
                <w:rFonts w:cs="Arial"/>
                <w:color w:val="000000"/>
                <w:szCs w:val="22"/>
              </w:rPr>
              <w:t>Have potential for and willingness to work towards appropriate professional recognition and accreditation e.g.  Associate Fellow of the Higher Education Academy</w:t>
            </w:r>
          </w:p>
          <w:p w14:paraId="4D7B4761"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Be a reflective, responsive practitioner committed to personal and professional development, and the development of own teaching and learning skills</w:t>
            </w:r>
          </w:p>
          <w:p w14:paraId="0D6E2E15"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Undertake internal learning and development training as relevant to role</w:t>
            </w:r>
          </w:p>
          <w:p w14:paraId="56EA86F0" w14:textId="77777777" w:rsidR="00A02B6A" w:rsidRDefault="00A02B6A" w:rsidP="00A7349E">
            <w:pPr>
              <w:jc w:val="both"/>
              <w:rPr>
                <w:rFonts w:cs="Arial"/>
                <w:szCs w:val="22"/>
              </w:rPr>
            </w:pPr>
          </w:p>
          <w:p w14:paraId="7E477E93" w14:textId="77777777" w:rsidR="0075141D" w:rsidRPr="00125368" w:rsidRDefault="0075141D" w:rsidP="0075141D">
            <w:pPr>
              <w:pStyle w:val="ListParagraph"/>
              <w:jc w:val="both"/>
              <w:rPr>
                <w:rFonts w:cs="Arial"/>
                <w:szCs w:val="22"/>
              </w:rPr>
            </w:pPr>
          </w:p>
        </w:tc>
      </w:tr>
    </w:tbl>
    <w:p w14:paraId="1851F907" w14:textId="77777777" w:rsidR="00414B4A" w:rsidRDefault="00414B4A" w:rsidP="009A01AA">
      <w:pPr>
        <w:rPr>
          <w:rFonts w:ascii="Calibri" w:hAnsi="Calibri" w:cs="Calibri"/>
          <w:szCs w:val="22"/>
        </w:rPr>
      </w:pPr>
    </w:p>
    <w:p w14:paraId="1BCB4D86"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3232210C" w14:textId="77777777" w:rsidTr="003B2CF5">
        <w:tc>
          <w:tcPr>
            <w:tcW w:w="10666" w:type="dxa"/>
            <w:tcBorders>
              <w:top w:val="nil"/>
              <w:left w:val="nil"/>
              <w:bottom w:val="nil"/>
              <w:right w:val="nil"/>
            </w:tcBorders>
            <w:shd w:val="clear" w:color="auto" w:fill="DEEAF6" w:themeFill="accent1" w:themeFillTint="33"/>
          </w:tcPr>
          <w:p w14:paraId="6169C832"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482A9F01"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05F9DC76" w14:textId="77777777" w:rsidTr="003B2CF5">
        <w:trPr>
          <w:trHeight w:val="288"/>
        </w:trPr>
        <w:tc>
          <w:tcPr>
            <w:tcW w:w="4155" w:type="pct"/>
            <w:tcBorders>
              <w:top w:val="nil"/>
              <w:left w:val="nil"/>
              <w:bottom w:val="nil"/>
              <w:right w:val="nil"/>
            </w:tcBorders>
            <w:shd w:val="clear" w:color="auto" w:fill="DEEAF6" w:themeFill="accent1" w:themeFillTint="33"/>
            <w:hideMark/>
          </w:tcPr>
          <w:p w14:paraId="2622B471" w14:textId="77777777" w:rsidR="00A60D57" w:rsidRPr="00A60D57" w:rsidRDefault="00A60D57" w:rsidP="00A60D57">
            <w:pPr>
              <w:rPr>
                <w:rFonts w:cs="Arial"/>
                <w:b/>
                <w:bCs/>
                <w:lang w:eastAsia="en-GB"/>
              </w:rPr>
            </w:pPr>
            <w:r w:rsidRPr="00A60D57">
              <w:rPr>
                <w:rFonts w:cs="Arial"/>
                <w:b/>
                <w:bCs/>
                <w:lang w:eastAsia="en-GB"/>
              </w:rPr>
              <w:t>Requirements</w:t>
            </w:r>
          </w:p>
          <w:p w14:paraId="1C712D0B"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3CD9B83E" w14:textId="77777777" w:rsidR="00A60D57" w:rsidRPr="00A60D57" w:rsidRDefault="00A60D57" w:rsidP="00A60D57">
            <w:pPr>
              <w:rPr>
                <w:rFonts w:cs="Arial"/>
                <w:b/>
                <w:bCs/>
                <w:lang w:eastAsia="en-GB"/>
              </w:rPr>
            </w:pPr>
            <w:r w:rsidRPr="00A60D57">
              <w:rPr>
                <w:rFonts w:cs="Arial"/>
                <w:b/>
                <w:bCs/>
                <w:lang w:eastAsia="en-GB"/>
              </w:rPr>
              <w:t>Essential (E)/</w:t>
            </w:r>
          </w:p>
          <w:p w14:paraId="077DF3AD"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5FF72AD2" w14:textId="77777777" w:rsidTr="003B2CF5">
        <w:tc>
          <w:tcPr>
            <w:tcW w:w="4155" w:type="pct"/>
            <w:tcBorders>
              <w:top w:val="nil"/>
              <w:left w:val="nil"/>
              <w:bottom w:val="single" w:sz="4" w:space="0" w:color="auto"/>
              <w:right w:val="nil"/>
            </w:tcBorders>
            <w:hideMark/>
          </w:tcPr>
          <w:p w14:paraId="5D8B5F93"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46DE79E5" w14:textId="77777777" w:rsidR="00A60D57" w:rsidRPr="00A60D57" w:rsidRDefault="00A60D57" w:rsidP="00A60D57">
            <w:pPr>
              <w:rPr>
                <w:rFonts w:cs="Arial"/>
                <w:bCs/>
                <w:szCs w:val="22"/>
                <w:lang w:eastAsia="en-GB"/>
              </w:rPr>
            </w:pPr>
          </w:p>
        </w:tc>
      </w:tr>
      <w:tr w:rsidR="00A60D57" w:rsidRPr="00A60D57" w14:paraId="688C38F4" w14:textId="77777777" w:rsidTr="003B2CF5">
        <w:tc>
          <w:tcPr>
            <w:tcW w:w="4155" w:type="pct"/>
            <w:tcBorders>
              <w:top w:val="single" w:sz="4" w:space="0" w:color="auto"/>
            </w:tcBorders>
            <w:shd w:val="clear" w:color="auto" w:fill="DEEAF6" w:themeFill="accent1" w:themeFillTint="33"/>
          </w:tcPr>
          <w:p w14:paraId="283291F5"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37162B69" w14:textId="77777777" w:rsidR="00A60D57" w:rsidRPr="00A60D57" w:rsidRDefault="00A60D57" w:rsidP="00A60D57">
            <w:pPr>
              <w:rPr>
                <w:rFonts w:cs="Arial"/>
                <w:bCs/>
                <w:szCs w:val="22"/>
                <w:lang w:eastAsia="en-GB"/>
              </w:rPr>
            </w:pPr>
          </w:p>
        </w:tc>
      </w:tr>
      <w:tr w:rsidR="00A60D57" w:rsidRPr="00A60D57" w14:paraId="14CFBF46" w14:textId="77777777" w:rsidTr="003B2CF5">
        <w:tc>
          <w:tcPr>
            <w:tcW w:w="4155" w:type="pct"/>
            <w:hideMark/>
          </w:tcPr>
          <w:p w14:paraId="6671D25D" w14:textId="77777777" w:rsidR="00A60D57" w:rsidRPr="00A60D57" w:rsidRDefault="00A54875" w:rsidP="00A7349E">
            <w:pPr>
              <w:rPr>
                <w:rFonts w:cs="Arial"/>
                <w:lang w:eastAsia="en-GB"/>
              </w:rPr>
            </w:pPr>
            <w:r>
              <w:t>A degree (or equivalent) and an appropriate postgraduate qualification in a related discipline</w:t>
            </w:r>
          </w:p>
        </w:tc>
        <w:tc>
          <w:tcPr>
            <w:tcW w:w="845" w:type="pct"/>
          </w:tcPr>
          <w:p w14:paraId="37A01EF0" w14:textId="77777777" w:rsidR="00A60D57" w:rsidRPr="00A60D57" w:rsidRDefault="00A60D57" w:rsidP="00A60D57">
            <w:pPr>
              <w:rPr>
                <w:rFonts w:cs="Arial"/>
                <w:lang w:eastAsia="en-GB"/>
              </w:rPr>
            </w:pPr>
            <w:r w:rsidRPr="00A60D57">
              <w:rPr>
                <w:rFonts w:cs="Arial"/>
                <w:lang w:eastAsia="en-GB"/>
              </w:rPr>
              <w:t>E</w:t>
            </w:r>
          </w:p>
        </w:tc>
      </w:tr>
      <w:tr w:rsidR="00A60D57" w:rsidRPr="00A60D57" w14:paraId="1EC8BD0B" w14:textId="77777777" w:rsidTr="003B2CF5">
        <w:tc>
          <w:tcPr>
            <w:tcW w:w="4155" w:type="pct"/>
          </w:tcPr>
          <w:p w14:paraId="00E98AFE" w14:textId="77777777" w:rsidR="00A60D57" w:rsidRPr="00A60D57" w:rsidRDefault="00A54875" w:rsidP="00A60D57">
            <w:pPr>
              <w:tabs>
                <w:tab w:val="left" w:pos="0"/>
                <w:tab w:val="right" w:pos="8537"/>
              </w:tabs>
              <w:rPr>
                <w:rFonts w:eastAsia="Calibri" w:cs="Arial"/>
                <w:color w:val="000000" w:themeColor="text1"/>
              </w:rPr>
            </w:pPr>
            <w:r>
              <w:t>An appropriate Master’s level teaching qualification (or equivalent) in Higher Education</w:t>
            </w:r>
          </w:p>
        </w:tc>
        <w:tc>
          <w:tcPr>
            <w:tcW w:w="845" w:type="pct"/>
          </w:tcPr>
          <w:p w14:paraId="1A85EC58" w14:textId="77777777" w:rsidR="00A60D57" w:rsidRPr="00A60D57" w:rsidRDefault="00AB3E6E" w:rsidP="00A60D57">
            <w:pPr>
              <w:rPr>
                <w:rFonts w:eastAsia="Calibri" w:cs="Arial"/>
                <w:lang w:eastAsia="en-GB"/>
              </w:rPr>
            </w:pPr>
            <w:r>
              <w:rPr>
                <w:rFonts w:eastAsia="Calibri" w:cs="Arial"/>
                <w:lang w:eastAsia="en-GB"/>
              </w:rPr>
              <w:t>E</w:t>
            </w:r>
          </w:p>
        </w:tc>
      </w:tr>
      <w:tr w:rsidR="00AB3E6E" w:rsidRPr="00A60D57" w14:paraId="2597A723" w14:textId="77777777" w:rsidTr="003B2CF5">
        <w:tc>
          <w:tcPr>
            <w:tcW w:w="4155" w:type="pct"/>
          </w:tcPr>
          <w:p w14:paraId="16092282" w14:textId="77777777" w:rsidR="00AB3E6E" w:rsidRDefault="00A54875" w:rsidP="00A60D57">
            <w:pPr>
              <w:tabs>
                <w:tab w:val="left" w:pos="0"/>
                <w:tab w:val="right" w:pos="8537"/>
              </w:tabs>
              <w:rPr>
                <w:rFonts w:eastAsia="Calibri" w:cs="Arial"/>
                <w:color w:val="000000" w:themeColor="text1"/>
              </w:rPr>
            </w:pPr>
            <w:r>
              <w:t>HEA fellowship (or equivalent)</w:t>
            </w:r>
          </w:p>
        </w:tc>
        <w:tc>
          <w:tcPr>
            <w:tcW w:w="845" w:type="pct"/>
          </w:tcPr>
          <w:p w14:paraId="777D8657" w14:textId="77777777" w:rsidR="00AB3E6E" w:rsidRDefault="00322636" w:rsidP="00322636">
            <w:pPr>
              <w:rPr>
                <w:rFonts w:eastAsia="Calibri" w:cs="Arial"/>
                <w:lang w:eastAsia="en-GB"/>
              </w:rPr>
            </w:pPr>
            <w:r>
              <w:rPr>
                <w:rFonts w:eastAsia="Calibri" w:cs="Arial"/>
                <w:lang w:eastAsia="en-GB"/>
              </w:rPr>
              <w:t>E</w:t>
            </w:r>
          </w:p>
        </w:tc>
      </w:tr>
      <w:tr w:rsidR="00A60D57" w:rsidRPr="00A60D57" w14:paraId="54F0745D" w14:textId="77777777" w:rsidTr="003B2CF5">
        <w:tc>
          <w:tcPr>
            <w:tcW w:w="4155" w:type="pct"/>
            <w:shd w:val="clear" w:color="auto" w:fill="DEEAF6" w:themeFill="accent1" w:themeFillTint="33"/>
          </w:tcPr>
          <w:p w14:paraId="45F3BEC2"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32E9F889" w14:textId="77777777" w:rsidR="00A60D57" w:rsidRPr="00A60D57" w:rsidRDefault="00A60D57" w:rsidP="00A60D57">
            <w:pPr>
              <w:rPr>
                <w:rFonts w:cs="Arial"/>
                <w:bCs/>
                <w:szCs w:val="22"/>
                <w:lang w:eastAsia="en-GB"/>
              </w:rPr>
            </w:pPr>
          </w:p>
        </w:tc>
      </w:tr>
      <w:tr w:rsidR="00A60D57" w:rsidRPr="00A60D57" w14:paraId="02978D75" w14:textId="77777777" w:rsidTr="003B2CF5">
        <w:tc>
          <w:tcPr>
            <w:tcW w:w="4155" w:type="pct"/>
          </w:tcPr>
          <w:p w14:paraId="27ACF066" w14:textId="77777777" w:rsidR="00A60D57" w:rsidRPr="00A60D57" w:rsidRDefault="00A54875" w:rsidP="00A7349E">
            <w:pPr>
              <w:rPr>
                <w:rFonts w:cs="Arial"/>
                <w:lang w:eastAsia="en-GB"/>
              </w:rPr>
            </w:pPr>
            <w:r>
              <w:t>A background that provides appropriate contextual knowledge of XXXX or other related areas ideally in a research intensive HE context</w:t>
            </w:r>
          </w:p>
        </w:tc>
        <w:tc>
          <w:tcPr>
            <w:tcW w:w="845" w:type="pct"/>
          </w:tcPr>
          <w:p w14:paraId="308F4003" w14:textId="77777777" w:rsidR="00A60D57" w:rsidRPr="00A60D57" w:rsidRDefault="00AB3E6E" w:rsidP="00AB3E6E">
            <w:pPr>
              <w:rPr>
                <w:rFonts w:cs="Arial"/>
                <w:lang w:eastAsia="en-GB"/>
              </w:rPr>
            </w:pPr>
            <w:r>
              <w:rPr>
                <w:rFonts w:cs="Arial"/>
                <w:lang w:eastAsia="en-GB"/>
              </w:rPr>
              <w:t>E</w:t>
            </w:r>
          </w:p>
        </w:tc>
      </w:tr>
      <w:tr w:rsidR="00A60D57" w:rsidRPr="00A60D57" w14:paraId="307D34AA" w14:textId="77777777" w:rsidTr="003B2CF5">
        <w:tc>
          <w:tcPr>
            <w:tcW w:w="4155" w:type="pct"/>
          </w:tcPr>
          <w:p w14:paraId="0B1A773B" w14:textId="77777777" w:rsidR="00A60D57" w:rsidRPr="00A60D57" w:rsidRDefault="00A54875" w:rsidP="00A60D57">
            <w:pPr>
              <w:rPr>
                <w:rFonts w:cs="Arial"/>
                <w:lang w:eastAsia="en-GB"/>
              </w:rPr>
            </w:pPr>
            <w:r>
              <w:t>Experience in XXXX teaching, along with the associated administrative and management support work</w:t>
            </w:r>
          </w:p>
        </w:tc>
        <w:tc>
          <w:tcPr>
            <w:tcW w:w="845" w:type="pct"/>
          </w:tcPr>
          <w:p w14:paraId="115CCEFB" w14:textId="77777777" w:rsidR="00A60D57" w:rsidRPr="00A60D57" w:rsidRDefault="00AB3E6E" w:rsidP="00AB3E6E">
            <w:pPr>
              <w:rPr>
                <w:rFonts w:cs="Arial"/>
                <w:lang w:eastAsia="en-GB"/>
              </w:rPr>
            </w:pPr>
            <w:r>
              <w:rPr>
                <w:rFonts w:cs="Arial"/>
                <w:lang w:eastAsia="en-GB"/>
              </w:rPr>
              <w:t>E</w:t>
            </w:r>
          </w:p>
        </w:tc>
      </w:tr>
      <w:tr w:rsidR="00322636" w:rsidRPr="00A60D57" w14:paraId="7E3BDE10" w14:textId="77777777" w:rsidTr="003B2CF5">
        <w:tc>
          <w:tcPr>
            <w:tcW w:w="4155" w:type="pct"/>
          </w:tcPr>
          <w:p w14:paraId="4E5A1EE8" w14:textId="77777777" w:rsidR="00322636" w:rsidRPr="00A54875" w:rsidRDefault="00A54875" w:rsidP="00A54875">
            <w:pPr>
              <w:rPr>
                <w:rFonts w:ascii="Calibri" w:hAnsi="Calibri"/>
                <w:szCs w:val="22"/>
              </w:rPr>
            </w:pPr>
            <w:r>
              <w:t>Experience of using a Virtual Learning Environment (Blackboard, Moodle etc.) and a willingness to use technology enhanced learning as appropriate</w:t>
            </w:r>
          </w:p>
        </w:tc>
        <w:tc>
          <w:tcPr>
            <w:tcW w:w="845" w:type="pct"/>
          </w:tcPr>
          <w:p w14:paraId="726094DD" w14:textId="77777777" w:rsidR="00322636" w:rsidRDefault="00322636" w:rsidP="00322636">
            <w:pPr>
              <w:rPr>
                <w:rFonts w:cs="Arial"/>
                <w:lang w:eastAsia="en-GB"/>
              </w:rPr>
            </w:pPr>
            <w:r>
              <w:rPr>
                <w:rFonts w:cs="Arial"/>
                <w:lang w:eastAsia="en-GB"/>
              </w:rPr>
              <w:t>E</w:t>
            </w:r>
          </w:p>
        </w:tc>
      </w:tr>
      <w:tr w:rsidR="00A60D57" w:rsidRPr="00A60D57" w14:paraId="5CBDB3F3" w14:textId="77777777" w:rsidTr="003B2CF5">
        <w:tc>
          <w:tcPr>
            <w:tcW w:w="4155" w:type="pct"/>
            <w:shd w:val="clear" w:color="auto" w:fill="DEEAF6" w:themeFill="accent1" w:themeFillTint="33"/>
            <w:hideMark/>
          </w:tcPr>
          <w:p w14:paraId="59C30EB6"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2B18428C" w14:textId="77777777" w:rsidR="00A60D57" w:rsidRPr="00A60D57" w:rsidRDefault="00A60D57" w:rsidP="00A60D57">
            <w:pPr>
              <w:rPr>
                <w:rFonts w:cs="Arial"/>
                <w:b/>
                <w:bCs/>
                <w:szCs w:val="22"/>
                <w:lang w:eastAsia="en-GB"/>
              </w:rPr>
            </w:pPr>
          </w:p>
        </w:tc>
      </w:tr>
      <w:tr w:rsidR="00AB3E6E" w:rsidRPr="00A60D57" w14:paraId="177B44B6" w14:textId="77777777" w:rsidTr="003B2CF5">
        <w:tc>
          <w:tcPr>
            <w:tcW w:w="4155" w:type="pct"/>
          </w:tcPr>
          <w:p w14:paraId="74AD48DE" w14:textId="77777777" w:rsidR="00AB3E6E" w:rsidRPr="00A60D57" w:rsidRDefault="00AB3E6E" w:rsidP="00AB3E6E">
            <w:pPr>
              <w:rPr>
                <w:rFonts w:cs="Arial"/>
                <w:lang w:eastAsia="en-GB"/>
              </w:rPr>
            </w:pPr>
            <w:r>
              <w:rPr>
                <w:rFonts w:cs="Arial"/>
                <w:lang w:eastAsia="en-GB"/>
              </w:rPr>
              <w:t>Develop familiarity with a variety of strategies to promote and assess</w:t>
            </w:r>
          </w:p>
        </w:tc>
        <w:tc>
          <w:tcPr>
            <w:tcW w:w="845" w:type="pct"/>
          </w:tcPr>
          <w:p w14:paraId="36D15373" w14:textId="77777777" w:rsidR="00AB3E6E" w:rsidRDefault="00AB3E6E" w:rsidP="00BA731F">
            <w:pPr>
              <w:rPr>
                <w:rFonts w:cs="Arial"/>
                <w:lang w:eastAsia="en-GB"/>
              </w:rPr>
            </w:pPr>
            <w:r>
              <w:rPr>
                <w:rFonts w:cs="Arial"/>
                <w:lang w:eastAsia="en-GB"/>
              </w:rPr>
              <w:t>E</w:t>
            </w:r>
          </w:p>
        </w:tc>
      </w:tr>
      <w:tr w:rsidR="00A60D57" w:rsidRPr="00A60D57" w14:paraId="555CB0A9" w14:textId="77777777" w:rsidTr="003B2CF5">
        <w:tc>
          <w:tcPr>
            <w:tcW w:w="4155" w:type="pct"/>
          </w:tcPr>
          <w:p w14:paraId="6F07BD1A"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16EE771F" w14:textId="77777777" w:rsidR="00A60D57" w:rsidRPr="00A60D57" w:rsidRDefault="00322636" w:rsidP="00322636">
            <w:pPr>
              <w:rPr>
                <w:rFonts w:cs="Arial"/>
                <w:lang w:eastAsia="en-GB"/>
              </w:rPr>
            </w:pPr>
            <w:r>
              <w:rPr>
                <w:rFonts w:cs="Arial"/>
                <w:lang w:eastAsia="en-GB"/>
              </w:rPr>
              <w:t>E</w:t>
            </w:r>
          </w:p>
        </w:tc>
      </w:tr>
      <w:tr w:rsidR="00A54875" w:rsidRPr="00A60D57" w14:paraId="6E3FB48F" w14:textId="77777777" w:rsidTr="003B2CF5">
        <w:tc>
          <w:tcPr>
            <w:tcW w:w="4155" w:type="pct"/>
          </w:tcPr>
          <w:p w14:paraId="5FF21969" w14:textId="77777777" w:rsidR="00A54875" w:rsidRPr="00A60D57" w:rsidRDefault="00A54875" w:rsidP="00A60D57">
            <w:pPr>
              <w:rPr>
                <w:rFonts w:cs="Arial"/>
                <w:lang w:eastAsia="en-GB"/>
              </w:rPr>
            </w:pPr>
            <w:r>
              <w:t>A demonstrable track record of teaching, supervising and assessing in XXXX at undergraduate and postgraduate level in higher education at the highest standards</w:t>
            </w:r>
          </w:p>
        </w:tc>
        <w:tc>
          <w:tcPr>
            <w:tcW w:w="845" w:type="pct"/>
          </w:tcPr>
          <w:p w14:paraId="65C5BF10" w14:textId="77777777" w:rsidR="00A54875" w:rsidRDefault="00A54875" w:rsidP="00322636">
            <w:pPr>
              <w:rPr>
                <w:rFonts w:cs="Arial"/>
                <w:lang w:eastAsia="en-GB"/>
              </w:rPr>
            </w:pPr>
            <w:r>
              <w:rPr>
                <w:rFonts w:cs="Arial"/>
                <w:lang w:eastAsia="en-GB"/>
              </w:rPr>
              <w:t>E</w:t>
            </w:r>
          </w:p>
        </w:tc>
      </w:tr>
      <w:tr w:rsidR="00A60D57" w:rsidRPr="00A60D57" w14:paraId="2C64A132" w14:textId="77777777" w:rsidTr="003B2CF5">
        <w:tc>
          <w:tcPr>
            <w:tcW w:w="4155" w:type="pct"/>
          </w:tcPr>
          <w:p w14:paraId="1CFEB36F" w14:textId="77777777" w:rsidR="00A60D57" w:rsidRPr="00A60D57" w:rsidRDefault="00A60D57" w:rsidP="00A60D57">
            <w:pPr>
              <w:rPr>
                <w:rFonts w:cs="Arial"/>
              </w:rPr>
            </w:pPr>
            <w:r w:rsidRPr="00A60D57">
              <w:rPr>
                <w:rFonts w:cs="Arial"/>
              </w:rPr>
              <w:t>A good working knowledge of Microsoft Office</w:t>
            </w:r>
          </w:p>
        </w:tc>
        <w:tc>
          <w:tcPr>
            <w:tcW w:w="845" w:type="pct"/>
          </w:tcPr>
          <w:p w14:paraId="723668F0" w14:textId="77777777" w:rsidR="00A60D57" w:rsidRPr="00A60D57" w:rsidRDefault="00A60D57" w:rsidP="00A60D57">
            <w:pPr>
              <w:rPr>
                <w:rFonts w:cs="Arial"/>
                <w:lang w:eastAsia="en-GB"/>
              </w:rPr>
            </w:pPr>
            <w:r w:rsidRPr="00A60D57">
              <w:rPr>
                <w:rFonts w:cs="Arial"/>
                <w:lang w:eastAsia="en-GB"/>
              </w:rPr>
              <w:t>E</w:t>
            </w:r>
          </w:p>
        </w:tc>
      </w:tr>
      <w:tr w:rsidR="00A60D57" w:rsidRPr="00A60D57" w14:paraId="27F4D6D7" w14:textId="77777777" w:rsidTr="003B2CF5">
        <w:tc>
          <w:tcPr>
            <w:tcW w:w="4155" w:type="pct"/>
          </w:tcPr>
          <w:p w14:paraId="2B88C51F" w14:textId="77777777" w:rsidR="00A60D57" w:rsidRPr="00A60D57" w:rsidRDefault="00A54875" w:rsidP="00A60D57">
            <w:pPr>
              <w:tabs>
                <w:tab w:val="left" w:pos="720"/>
              </w:tabs>
              <w:rPr>
                <w:rFonts w:cs="Arial"/>
                <w:lang w:eastAsia="en-GB"/>
              </w:rPr>
            </w:pPr>
            <w:r>
              <w:t>An understanding of relevant educational theory and good practice relating to student learning, teaching, assessment and course design in a relevant discipline in Higher Education</w:t>
            </w:r>
          </w:p>
        </w:tc>
        <w:tc>
          <w:tcPr>
            <w:tcW w:w="845" w:type="pct"/>
          </w:tcPr>
          <w:p w14:paraId="38FEF474" w14:textId="77777777" w:rsidR="00A60D57" w:rsidRPr="00A60D57" w:rsidRDefault="00322636" w:rsidP="00322636">
            <w:pPr>
              <w:rPr>
                <w:rFonts w:cs="Arial"/>
                <w:lang w:eastAsia="en-GB"/>
              </w:rPr>
            </w:pPr>
            <w:r>
              <w:rPr>
                <w:rFonts w:cs="Arial"/>
                <w:lang w:eastAsia="en-GB"/>
              </w:rPr>
              <w:t>E</w:t>
            </w:r>
          </w:p>
        </w:tc>
      </w:tr>
      <w:tr w:rsidR="00A60D57" w:rsidRPr="00A60D57" w14:paraId="3A747AD7" w14:textId="77777777" w:rsidTr="003B2CF5">
        <w:tc>
          <w:tcPr>
            <w:tcW w:w="4155" w:type="pct"/>
          </w:tcPr>
          <w:p w14:paraId="76E2C1A1" w14:textId="77777777" w:rsidR="00A60D57" w:rsidRPr="00A60D57" w:rsidRDefault="00A54875" w:rsidP="00A7349E">
            <w:pPr>
              <w:tabs>
                <w:tab w:val="left" w:pos="720"/>
              </w:tabs>
              <w:rPr>
                <w:rFonts w:cs="Arial"/>
                <w:lang w:eastAsia="en-GB"/>
              </w:rPr>
            </w:pPr>
            <w:r>
              <w:t>An informed, critical understanding of the core UG/ PG syllabus in XXXX</w:t>
            </w:r>
          </w:p>
        </w:tc>
        <w:tc>
          <w:tcPr>
            <w:tcW w:w="845" w:type="pct"/>
          </w:tcPr>
          <w:p w14:paraId="742B4149" w14:textId="77777777" w:rsidR="00A60D57" w:rsidRPr="00A60D57" w:rsidRDefault="00A7349E" w:rsidP="00A7349E">
            <w:pPr>
              <w:rPr>
                <w:rFonts w:cs="Arial"/>
                <w:lang w:eastAsia="en-GB"/>
              </w:rPr>
            </w:pPr>
            <w:r>
              <w:rPr>
                <w:rFonts w:cs="Arial"/>
                <w:lang w:eastAsia="en-GB"/>
              </w:rPr>
              <w:t>E</w:t>
            </w:r>
          </w:p>
        </w:tc>
      </w:tr>
      <w:tr w:rsidR="00A60D57" w:rsidRPr="00A60D57" w14:paraId="33CEFF02" w14:textId="77777777" w:rsidTr="003B2CF5">
        <w:trPr>
          <w:trHeight w:val="217"/>
        </w:trPr>
        <w:tc>
          <w:tcPr>
            <w:tcW w:w="4155" w:type="pct"/>
            <w:shd w:val="clear" w:color="auto" w:fill="DEEAF6" w:themeFill="accent1" w:themeFillTint="33"/>
            <w:hideMark/>
          </w:tcPr>
          <w:p w14:paraId="2199648C" w14:textId="77777777" w:rsidR="00A60D57" w:rsidRPr="00A60D57" w:rsidRDefault="00A60D57" w:rsidP="00A60D57">
            <w:pPr>
              <w:rPr>
                <w:rFonts w:cs="Arial"/>
                <w:b/>
                <w:bCs/>
                <w:lang w:eastAsia="en-GB"/>
              </w:rPr>
            </w:pPr>
            <w:r w:rsidRPr="00A60D57">
              <w:rPr>
                <w:rFonts w:cs="Arial"/>
                <w:b/>
                <w:bCs/>
                <w:lang w:eastAsia="en-GB"/>
              </w:rPr>
              <w:lastRenderedPageBreak/>
              <w:t>Skills &amp; Abilities</w:t>
            </w:r>
          </w:p>
        </w:tc>
        <w:tc>
          <w:tcPr>
            <w:tcW w:w="845" w:type="pct"/>
            <w:shd w:val="clear" w:color="auto" w:fill="DEEAF6" w:themeFill="accent1" w:themeFillTint="33"/>
          </w:tcPr>
          <w:p w14:paraId="14B30B8E" w14:textId="77777777" w:rsidR="00A60D57" w:rsidRPr="00A60D57" w:rsidRDefault="00A60D57" w:rsidP="00A60D57">
            <w:pPr>
              <w:rPr>
                <w:rFonts w:cs="Arial"/>
                <w:b/>
                <w:bCs/>
                <w:szCs w:val="22"/>
                <w:lang w:eastAsia="en-GB"/>
              </w:rPr>
            </w:pPr>
          </w:p>
        </w:tc>
      </w:tr>
      <w:tr w:rsidR="00A60D57" w:rsidRPr="00A60D57" w14:paraId="41714B4C" w14:textId="77777777" w:rsidTr="003B2CF5">
        <w:tc>
          <w:tcPr>
            <w:tcW w:w="4155" w:type="pct"/>
          </w:tcPr>
          <w:p w14:paraId="2719C0F3"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220C0039" w14:textId="77777777" w:rsidR="00A60D57" w:rsidRPr="00A60D57" w:rsidRDefault="00A60D57" w:rsidP="00A60D57">
            <w:pPr>
              <w:rPr>
                <w:rFonts w:cs="Arial"/>
              </w:rPr>
            </w:pPr>
            <w:r w:rsidRPr="00A60D57">
              <w:rPr>
                <w:rFonts w:cs="Arial"/>
              </w:rPr>
              <w:t>E</w:t>
            </w:r>
          </w:p>
        </w:tc>
      </w:tr>
      <w:tr w:rsidR="00A60D57" w:rsidRPr="00A60D57" w14:paraId="4BDFFE00" w14:textId="77777777" w:rsidTr="003B2CF5">
        <w:tc>
          <w:tcPr>
            <w:tcW w:w="4155" w:type="pct"/>
          </w:tcPr>
          <w:p w14:paraId="32626C1D"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04DA75A5" w14:textId="77777777" w:rsidR="00A60D57" w:rsidRPr="00A60D57" w:rsidRDefault="00A60D57" w:rsidP="00A60D57">
            <w:pPr>
              <w:rPr>
                <w:rFonts w:cs="Arial"/>
              </w:rPr>
            </w:pPr>
            <w:r w:rsidRPr="00A60D57">
              <w:rPr>
                <w:rFonts w:cs="Arial"/>
                <w:lang w:eastAsia="en-GB"/>
              </w:rPr>
              <w:t>E</w:t>
            </w:r>
          </w:p>
        </w:tc>
      </w:tr>
      <w:tr w:rsidR="00A60D57" w:rsidRPr="00A60D57" w14:paraId="7802A5F0" w14:textId="77777777" w:rsidTr="003B2CF5">
        <w:tc>
          <w:tcPr>
            <w:tcW w:w="4155" w:type="pct"/>
          </w:tcPr>
          <w:p w14:paraId="6B2035A4"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4DB6C725" w14:textId="77777777" w:rsidR="00A60D57" w:rsidRPr="00A60D57" w:rsidRDefault="00A60D57" w:rsidP="00A60D57">
            <w:pPr>
              <w:rPr>
                <w:rFonts w:cs="Arial"/>
              </w:rPr>
            </w:pPr>
            <w:r w:rsidRPr="00A60D57">
              <w:rPr>
                <w:rFonts w:cs="Arial"/>
              </w:rPr>
              <w:t>E</w:t>
            </w:r>
          </w:p>
        </w:tc>
      </w:tr>
      <w:tr w:rsidR="00A60D57" w:rsidRPr="00A60D57" w14:paraId="2C27B107" w14:textId="77777777" w:rsidTr="003B2CF5">
        <w:tc>
          <w:tcPr>
            <w:tcW w:w="4155" w:type="pct"/>
          </w:tcPr>
          <w:p w14:paraId="18A4DDAE"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07D9087F" w14:textId="77777777" w:rsidR="00A60D57" w:rsidRPr="00A60D57" w:rsidRDefault="00A60D57" w:rsidP="00A60D57">
            <w:pPr>
              <w:rPr>
                <w:rFonts w:cs="Arial"/>
              </w:rPr>
            </w:pPr>
            <w:r w:rsidRPr="00A60D57">
              <w:rPr>
                <w:rFonts w:cs="Arial"/>
              </w:rPr>
              <w:t>E</w:t>
            </w:r>
          </w:p>
        </w:tc>
      </w:tr>
      <w:tr w:rsidR="00A60D57" w:rsidRPr="00A60D57" w14:paraId="2F8929F7" w14:textId="77777777" w:rsidTr="003B2CF5">
        <w:tc>
          <w:tcPr>
            <w:tcW w:w="4155" w:type="pct"/>
          </w:tcPr>
          <w:p w14:paraId="09BF1890" w14:textId="77777777" w:rsidR="00A60D57" w:rsidRPr="00A60D57" w:rsidRDefault="00A54875" w:rsidP="00A60D57">
            <w:pPr>
              <w:numPr>
                <w:ilvl w:val="0"/>
                <w:numId w:val="29"/>
              </w:numPr>
              <w:ind w:left="0"/>
              <w:jc w:val="both"/>
              <w:rPr>
                <w:rFonts w:cs="Arial"/>
              </w:rPr>
            </w:pPr>
            <w:r>
              <w:t>Effective communication and problem solving skills and a willingness to engage with relevant CPD</w:t>
            </w:r>
          </w:p>
        </w:tc>
        <w:tc>
          <w:tcPr>
            <w:tcW w:w="845" w:type="pct"/>
          </w:tcPr>
          <w:p w14:paraId="031DF693" w14:textId="77777777" w:rsidR="00A60D57" w:rsidRPr="00A60D57" w:rsidRDefault="00A60D57" w:rsidP="00A60D57">
            <w:pPr>
              <w:rPr>
                <w:rFonts w:cs="Arial"/>
              </w:rPr>
            </w:pPr>
            <w:r w:rsidRPr="00A60D57">
              <w:rPr>
                <w:rFonts w:cs="Arial"/>
                <w:lang w:eastAsia="en-GB"/>
              </w:rPr>
              <w:t>E</w:t>
            </w:r>
          </w:p>
        </w:tc>
      </w:tr>
      <w:tr w:rsidR="00A60D57" w:rsidRPr="00A60D57" w14:paraId="60276685" w14:textId="77777777" w:rsidTr="003B2CF5">
        <w:tc>
          <w:tcPr>
            <w:tcW w:w="4155" w:type="pct"/>
          </w:tcPr>
          <w:p w14:paraId="3C1BA3ED"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0B6C989D" w14:textId="77777777" w:rsidR="00A60D57" w:rsidRPr="00A60D57" w:rsidRDefault="00A60D57" w:rsidP="00A60D57">
            <w:pPr>
              <w:rPr>
                <w:rFonts w:cs="Arial"/>
              </w:rPr>
            </w:pPr>
            <w:r w:rsidRPr="00A60D57">
              <w:rPr>
                <w:rFonts w:cs="Arial"/>
              </w:rPr>
              <w:t>E</w:t>
            </w:r>
          </w:p>
        </w:tc>
      </w:tr>
    </w:tbl>
    <w:p w14:paraId="6294F1F4" w14:textId="77777777" w:rsidR="00A60D57" w:rsidRDefault="00A60D57" w:rsidP="009A01AA">
      <w:pPr>
        <w:rPr>
          <w:rFonts w:ascii="Calibri" w:hAnsi="Calibri" w:cs="Calibri"/>
          <w:szCs w:val="22"/>
        </w:rPr>
      </w:pPr>
    </w:p>
    <w:p w14:paraId="55471365" w14:textId="77777777" w:rsidR="004A75F4" w:rsidRDefault="004A75F4" w:rsidP="004A75F4">
      <w:pPr>
        <w:rPr>
          <w:rFonts w:cs="Arial"/>
          <w:sz w:val="21"/>
          <w:szCs w:val="21"/>
        </w:rPr>
      </w:pPr>
      <w:r>
        <w:rPr>
          <w:rFonts w:cs="Arial"/>
          <w:sz w:val="21"/>
          <w:szCs w:val="21"/>
        </w:rPr>
        <w:t>&lt;HR/Recruitment Hub to add/edit standard text here&gt;</w:t>
      </w:r>
    </w:p>
    <w:p w14:paraId="22BFDF56" w14:textId="77777777" w:rsidR="004A75F4" w:rsidRDefault="004A75F4" w:rsidP="004A75F4">
      <w:pPr>
        <w:rPr>
          <w:rFonts w:cs="Arial"/>
          <w:sz w:val="21"/>
          <w:szCs w:val="21"/>
        </w:rPr>
      </w:pPr>
    </w:p>
    <w:p w14:paraId="35E7B152" w14:textId="77777777" w:rsidR="004A75F4" w:rsidRDefault="004A75F4" w:rsidP="004A75F4">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148A70C8" w14:textId="1BC31A6F" w:rsidR="004A75F4" w:rsidRDefault="004A75F4" w:rsidP="004A75F4">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Imperial Values &amp; Behaviours framework</w:t>
        </w:r>
      </w:hyperlink>
      <w:r>
        <w:rPr>
          <w:rFonts w:cs="Arial"/>
          <w:lang w:val="en-US"/>
        </w:rPr>
        <w:t xml:space="preserve">. Our values are: </w:t>
      </w:r>
    </w:p>
    <w:p w14:paraId="1E1561E7" w14:textId="77777777" w:rsidR="004A75F4" w:rsidRDefault="004A75F4" w:rsidP="004A75F4">
      <w:pPr>
        <w:numPr>
          <w:ilvl w:val="0"/>
          <w:numId w:val="43"/>
        </w:numPr>
        <w:autoSpaceDE w:val="0"/>
        <w:autoSpaceDN w:val="0"/>
        <w:spacing w:before="102"/>
        <w:ind w:right="79"/>
        <w:rPr>
          <w:rFonts w:cs="Arial"/>
          <w:lang w:val="en-US"/>
        </w:rPr>
      </w:pPr>
      <w:r>
        <w:rPr>
          <w:rFonts w:cs="Arial"/>
          <w:lang w:val="en-US"/>
        </w:rPr>
        <w:t xml:space="preserve">Respect              </w:t>
      </w:r>
    </w:p>
    <w:p w14:paraId="3559AC11" w14:textId="77777777" w:rsidR="004A75F4" w:rsidRDefault="004A75F4" w:rsidP="004A75F4">
      <w:pPr>
        <w:numPr>
          <w:ilvl w:val="0"/>
          <w:numId w:val="43"/>
        </w:numPr>
        <w:autoSpaceDE w:val="0"/>
        <w:autoSpaceDN w:val="0"/>
        <w:spacing w:before="102"/>
        <w:ind w:right="79"/>
        <w:rPr>
          <w:rFonts w:cs="Arial"/>
          <w:lang w:val="en-US"/>
        </w:rPr>
      </w:pPr>
      <w:r>
        <w:rPr>
          <w:rFonts w:cs="Arial"/>
          <w:lang w:val="en-US"/>
        </w:rPr>
        <w:t>Collaboration</w:t>
      </w:r>
    </w:p>
    <w:p w14:paraId="4C2AD726" w14:textId="77777777" w:rsidR="004A75F4" w:rsidRDefault="004A75F4" w:rsidP="004A75F4">
      <w:pPr>
        <w:numPr>
          <w:ilvl w:val="0"/>
          <w:numId w:val="43"/>
        </w:numPr>
        <w:autoSpaceDE w:val="0"/>
        <w:autoSpaceDN w:val="0"/>
        <w:spacing w:before="102"/>
        <w:ind w:right="79"/>
        <w:rPr>
          <w:rFonts w:cs="Arial"/>
          <w:lang w:val="en-US"/>
        </w:rPr>
      </w:pPr>
      <w:r>
        <w:rPr>
          <w:rFonts w:cs="Arial"/>
          <w:lang w:val="en-US"/>
        </w:rPr>
        <w:t xml:space="preserve">Excellence          </w:t>
      </w:r>
    </w:p>
    <w:p w14:paraId="228CB7E1" w14:textId="77777777" w:rsidR="004A75F4" w:rsidRDefault="004A75F4" w:rsidP="004A75F4">
      <w:pPr>
        <w:numPr>
          <w:ilvl w:val="0"/>
          <w:numId w:val="43"/>
        </w:numPr>
        <w:autoSpaceDE w:val="0"/>
        <w:autoSpaceDN w:val="0"/>
        <w:spacing w:before="102"/>
        <w:ind w:right="79"/>
        <w:rPr>
          <w:rFonts w:cs="Arial"/>
          <w:lang w:val="en-US"/>
        </w:rPr>
      </w:pPr>
      <w:r>
        <w:rPr>
          <w:rFonts w:cs="Arial"/>
          <w:lang w:val="en-US"/>
        </w:rPr>
        <w:t>Integrity</w:t>
      </w:r>
    </w:p>
    <w:p w14:paraId="0B76FBDF" w14:textId="77777777" w:rsidR="004A75F4" w:rsidRDefault="004A75F4" w:rsidP="004A75F4">
      <w:pPr>
        <w:numPr>
          <w:ilvl w:val="0"/>
          <w:numId w:val="43"/>
        </w:numPr>
        <w:autoSpaceDE w:val="0"/>
        <w:autoSpaceDN w:val="0"/>
        <w:spacing w:before="102"/>
        <w:ind w:right="79"/>
        <w:rPr>
          <w:rFonts w:cs="Arial"/>
          <w:lang w:val="en-US"/>
        </w:rPr>
      </w:pPr>
      <w:r>
        <w:rPr>
          <w:rFonts w:cs="Arial"/>
          <w:lang w:val="en-US"/>
        </w:rPr>
        <w:t>Innovation</w:t>
      </w:r>
    </w:p>
    <w:p w14:paraId="6EA95846" w14:textId="77777777" w:rsidR="004A75F4" w:rsidRPr="0084742A" w:rsidRDefault="004A75F4" w:rsidP="004A75F4">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71AC7375" w14:textId="77777777" w:rsidR="004A75F4" w:rsidRPr="00137D47" w:rsidRDefault="004A75F4" w:rsidP="004A75F4">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7FD63D6C" w14:textId="77777777" w:rsidR="004A75F4" w:rsidRPr="00195FEA" w:rsidRDefault="004A75F4" w:rsidP="004A75F4">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58FF440E" w14:textId="77777777" w:rsidR="004A75F4" w:rsidRPr="0084742A" w:rsidRDefault="004A75F4" w:rsidP="004A75F4">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0712FE3A" w14:textId="244D8BD1" w:rsidR="0019508F" w:rsidRDefault="004A75F4" w:rsidP="004A75F4">
      <w:pPr>
        <w:spacing w:before="240"/>
        <w:rPr>
          <w:rFonts w:cs="Arial"/>
          <w:szCs w:val="22"/>
        </w:rPr>
      </w:pPr>
      <w:r w:rsidRPr="00753F3E">
        <w:rPr>
          <w:rFonts w:cs="Arial"/>
          <w:b/>
          <w:bCs/>
          <w:sz w:val="21"/>
          <w:szCs w:val="21"/>
        </w:rPr>
        <w:t>[Date]</w:t>
      </w: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9D10" w14:textId="77777777" w:rsidR="005D3F23" w:rsidRDefault="005D3F23" w:rsidP="005859DA">
      <w:r>
        <w:separator/>
      </w:r>
    </w:p>
  </w:endnote>
  <w:endnote w:type="continuationSeparator" w:id="0">
    <w:p w14:paraId="0FBE6500"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F1CB" w14:textId="77777777" w:rsidR="005D3F23" w:rsidRDefault="005D3F23" w:rsidP="005859DA">
      <w:r>
        <w:separator/>
      </w:r>
    </w:p>
  </w:footnote>
  <w:footnote w:type="continuationSeparator" w:id="0">
    <w:p w14:paraId="6816B330"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3BE"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3B233448" wp14:editId="50997FD4">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336"/>
    <w:multiLevelType w:val="hybridMultilevel"/>
    <w:tmpl w:val="888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77728"/>
    <w:multiLevelType w:val="hybridMultilevel"/>
    <w:tmpl w:val="F9C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1"/>
  </w:num>
  <w:num w:numId="4">
    <w:abstractNumId w:val="28"/>
  </w:num>
  <w:num w:numId="5">
    <w:abstractNumId w:val="34"/>
  </w:num>
  <w:num w:numId="6">
    <w:abstractNumId w:val="4"/>
  </w:num>
  <w:num w:numId="7">
    <w:abstractNumId w:val="32"/>
  </w:num>
  <w:num w:numId="8">
    <w:abstractNumId w:val="24"/>
  </w:num>
  <w:num w:numId="9">
    <w:abstractNumId w:val="20"/>
  </w:num>
  <w:num w:numId="10">
    <w:abstractNumId w:val="37"/>
  </w:num>
  <w:num w:numId="11">
    <w:abstractNumId w:val="13"/>
  </w:num>
  <w:num w:numId="12">
    <w:abstractNumId w:val="10"/>
  </w:num>
  <w:num w:numId="13">
    <w:abstractNumId w:val="27"/>
  </w:num>
  <w:num w:numId="14">
    <w:abstractNumId w:val="22"/>
  </w:num>
  <w:num w:numId="15">
    <w:abstractNumId w:val="3"/>
  </w:num>
  <w:num w:numId="16">
    <w:abstractNumId w:val="15"/>
  </w:num>
  <w:num w:numId="17">
    <w:abstractNumId w:val="30"/>
  </w:num>
  <w:num w:numId="18">
    <w:abstractNumId w:val="23"/>
  </w:num>
  <w:num w:numId="19">
    <w:abstractNumId w:val="25"/>
  </w:num>
  <w:num w:numId="20">
    <w:abstractNumId w:val="14"/>
  </w:num>
  <w:num w:numId="21">
    <w:abstractNumId w:val="26"/>
  </w:num>
  <w:num w:numId="22">
    <w:abstractNumId w:val="17"/>
  </w:num>
  <w:num w:numId="23">
    <w:abstractNumId w:val="2"/>
  </w:num>
  <w:num w:numId="24">
    <w:abstractNumId w:val="35"/>
  </w:num>
  <w:num w:numId="25">
    <w:abstractNumId w:val="1"/>
  </w:num>
  <w:num w:numId="26">
    <w:abstractNumId w:val="5"/>
  </w:num>
  <w:num w:numId="27">
    <w:abstractNumId w:val="0"/>
  </w:num>
  <w:num w:numId="28">
    <w:abstractNumId w:val="6"/>
  </w:num>
  <w:num w:numId="29">
    <w:abstractNumId w:val="36"/>
  </w:num>
  <w:num w:numId="30">
    <w:abstractNumId w:val="29"/>
  </w:num>
  <w:num w:numId="31">
    <w:abstractNumId w:val="39"/>
  </w:num>
  <w:num w:numId="32">
    <w:abstractNumId w:val="16"/>
  </w:num>
  <w:num w:numId="33">
    <w:abstractNumId w:val="11"/>
  </w:num>
  <w:num w:numId="34">
    <w:abstractNumId w:val="39"/>
  </w:num>
  <w:num w:numId="35">
    <w:abstractNumId w:val="29"/>
  </w:num>
  <w:num w:numId="36">
    <w:abstractNumId w:val="36"/>
  </w:num>
  <w:num w:numId="37">
    <w:abstractNumId w:val="19"/>
  </w:num>
  <w:num w:numId="38">
    <w:abstractNumId w:val="7"/>
  </w:num>
  <w:num w:numId="39">
    <w:abstractNumId w:val="31"/>
  </w:num>
  <w:num w:numId="40">
    <w:abstractNumId w:val="8"/>
  </w:num>
  <w:num w:numId="41">
    <w:abstractNumId w:val="12"/>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4887"/>
    <w:rsid w:val="000248DA"/>
    <w:rsid w:val="000605EC"/>
    <w:rsid w:val="00071A9D"/>
    <w:rsid w:val="00087150"/>
    <w:rsid w:val="000A6F97"/>
    <w:rsid w:val="000B7FF4"/>
    <w:rsid w:val="000D0077"/>
    <w:rsid w:val="000E6F44"/>
    <w:rsid w:val="000F290B"/>
    <w:rsid w:val="00102B7B"/>
    <w:rsid w:val="00106E4E"/>
    <w:rsid w:val="00117278"/>
    <w:rsid w:val="00117B23"/>
    <w:rsid w:val="00125368"/>
    <w:rsid w:val="00126595"/>
    <w:rsid w:val="00127E1F"/>
    <w:rsid w:val="00142AF9"/>
    <w:rsid w:val="00152DFB"/>
    <w:rsid w:val="00176F1E"/>
    <w:rsid w:val="00185DF2"/>
    <w:rsid w:val="00192C78"/>
    <w:rsid w:val="0019508F"/>
    <w:rsid w:val="001E5CAC"/>
    <w:rsid w:val="001F0257"/>
    <w:rsid w:val="001F1B88"/>
    <w:rsid w:val="001F62D3"/>
    <w:rsid w:val="002057C4"/>
    <w:rsid w:val="002363B1"/>
    <w:rsid w:val="002503AC"/>
    <w:rsid w:val="00255D28"/>
    <w:rsid w:val="00266FAE"/>
    <w:rsid w:val="0027016C"/>
    <w:rsid w:val="002D04A7"/>
    <w:rsid w:val="002E16B8"/>
    <w:rsid w:val="003050EF"/>
    <w:rsid w:val="003107FA"/>
    <w:rsid w:val="00315462"/>
    <w:rsid w:val="00322636"/>
    <w:rsid w:val="0032705E"/>
    <w:rsid w:val="00345750"/>
    <w:rsid w:val="00356DEA"/>
    <w:rsid w:val="00372505"/>
    <w:rsid w:val="00373B9C"/>
    <w:rsid w:val="003E3961"/>
    <w:rsid w:val="00414B4A"/>
    <w:rsid w:val="00432415"/>
    <w:rsid w:val="004934A2"/>
    <w:rsid w:val="004A6F6E"/>
    <w:rsid w:val="004A75F4"/>
    <w:rsid w:val="004B314B"/>
    <w:rsid w:val="004E7F0B"/>
    <w:rsid w:val="005135A1"/>
    <w:rsid w:val="00521CF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829C0"/>
    <w:rsid w:val="00785009"/>
    <w:rsid w:val="00794C2D"/>
    <w:rsid w:val="007A2BD1"/>
    <w:rsid w:val="007A4784"/>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24A7A"/>
    <w:rsid w:val="0093119E"/>
    <w:rsid w:val="00937682"/>
    <w:rsid w:val="00937F3B"/>
    <w:rsid w:val="00974CD1"/>
    <w:rsid w:val="00990A87"/>
    <w:rsid w:val="009A01AA"/>
    <w:rsid w:val="00A02B6A"/>
    <w:rsid w:val="00A2338F"/>
    <w:rsid w:val="00A30654"/>
    <w:rsid w:val="00A31B36"/>
    <w:rsid w:val="00A362ED"/>
    <w:rsid w:val="00A5205C"/>
    <w:rsid w:val="00A54875"/>
    <w:rsid w:val="00A60D57"/>
    <w:rsid w:val="00A62A38"/>
    <w:rsid w:val="00A7349E"/>
    <w:rsid w:val="00A77BB3"/>
    <w:rsid w:val="00A8329E"/>
    <w:rsid w:val="00A86D60"/>
    <w:rsid w:val="00A8780F"/>
    <w:rsid w:val="00AB3E6E"/>
    <w:rsid w:val="00AD3DFD"/>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05061"/>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60D8101"/>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614">
      <w:bodyDiv w:val="1"/>
      <w:marLeft w:val="0"/>
      <w:marRight w:val="0"/>
      <w:marTop w:val="0"/>
      <w:marBottom w:val="0"/>
      <w:divBdr>
        <w:top w:val="none" w:sz="0" w:space="0" w:color="auto"/>
        <w:left w:val="none" w:sz="0" w:space="0" w:color="auto"/>
        <w:bottom w:val="none" w:sz="0" w:space="0" w:color="auto"/>
        <w:right w:val="none" w:sz="0" w:space="0" w:color="auto"/>
      </w:divBdr>
    </w:div>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2.xml><?xml version="1.0" encoding="utf-8"?>
<ds:datastoreItem xmlns:ds="http://schemas.openxmlformats.org/officeDocument/2006/customXml" ds:itemID="{755D9FB4-7D08-4A01-A4DD-39B42104D178}">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3021AF-DCB7-4973-A843-16EA236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9029</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4</cp:revision>
  <cp:lastPrinted>2017-06-09T10:28:00Z</cp:lastPrinted>
  <dcterms:created xsi:type="dcterms:W3CDTF">2021-07-07T14:44:00Z</dcterms:created>
  <dcterms:modified xsi:type="dcterms:W3CDTF">2022-12-01T13:51:00Z</dcterms:modified>
</cp:coreProperties>
</file>