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4C2C" w14:textId="77777777" w:rsidR="00457CA9" w:rsidRPr="00457CA9" w:rsidRDefault="00457CA9" w:rsidP="00A73960">
      <w:pPr>
        <w:spacing w:after="0" w:line="276" w:lineRule="auto"/>
        <w:rPr>
          <w:b/>
          <w:bCs/>
          <w:sz w:val="36"/>
          <w:szCs w:val="36"/>
          <w:u w:val="single"/>
        </w:rPr>
      </w:pPr>
    </w:p>
    <w:p w14:paraId="4E81DC3B" w14:textId="1C0FB289" w:rsidR="00A73960" w:rsidRPr="00457CA9" w:rsidRDefault="0044601E" w:rsidP="00457CA9">
      <w:pPr>
        <w:pStyle w:val="Title"/>
        <w:rPr>
          <w:rFonts w:ascii="Arial" w:hAnsi="Arial" w:cs="Arial"/>
        </w:rPr>
      </w:pPr>
      <w:r w:rsidRPr="00457CA9">
        <w:rPr>
          <w:rFonts w:ascii="Arial" w:hAnsi="Arial" w:cs="Arial"/>
        </w:rPr>
        <w:t>A-level</w:t>
      </w:r>
      <w:r w:rsidR="00A73960" w:rsidRPr="00457CA9">
        <w:rPr>
          <w:rFonts w:ascii="Arial" w:hAnsi="Arial" w:cs="Arial"/>
        </w:rPr>
        <w:t xml:space="preserve"> Further </w:t>
      </w:r>
      <w:r w:rsidR="00DD25D0" w:rsidRPr="00457CA9">
        <w:rPr>
          <w:rFonts w:ascii="Arial" w:hAnsi="Arial" w:cs="Arial"/>
        </w:rPr>
        <w:t>Mathematics</w:t>
      </w:r>
      <w:r w:rsidR="00A73960" w:rsidRPr="00457CA9">
        <w:rPr>
          <w:rFonts w:ascii="Arial" w:hAnsi="Arial" w:cs="Arial"/>
        </w:rPr>
        <w:t xml:space="preserve"> </w:t>
      </w:r>
      <w:r w:rsidR="0074074F" w:rsidRPr="00457CA9">
        <w:rPr>
          <w:rFonts w:ascii="Arial" w:hAnsi="Arial" w:cs="Arial"/>
        </w:rPr>
        <w:t xml:space="preserve">uptake: barriers </w:t>
      </w:r>
      <w:r w:rsidR="00A73960" w:rsidRPr="00457CA9">
        <w:rPr>
          <w:rFonts w:ascii="Arial" w:hAnsi="Arial" w:cs="Arial"/>
        </w:rPr>
        <w:t xml:space="preserve">for </w:t>
      </w:r>
      <w:r w:rsidR="00C756E4" w:rsidRPr="00457CA9">
        <w:rPr>
          <w:rFonts w:ascii="Arial" w:hAnsi="Arial" w:cs="Arial"/>
        </w:rPr>
        <w:t>underrepresented</w:t>
      </w:r>
      <w:r w:rsidR="000C428C" w:rsidRPr="00457CA9">
        <w:rPr>
          <w:rFonts w:ascii="Arial" w:hAnsi="Arial" w:cs="Arial"/>
        </w:rPr>
        <w:t xml:space="preserve"> young people</w:t>
      </w:r>
    </w:p>
    <w:p w14:paraId="4F3789CA" w14:textId="77777777" w:rsidR="007A2D9E" w:rsidRPr="007A2D9E" w:rsidRDefault="007A2D9E" w:rsidP="007A2D9E">
      <w:pPr>
        <w:pStyle w:val="Subtitle"/>
        <w:rPr>
          <w:rFonts w:ascii="Arial" w:hAnsi="Arial" w:cs="Arial"/>
          <w:color w:val="000000" w:themeColor="text1"/>
          <w:sz w:val="28"/>
          <w:szCs w:val="28"/>
        </w:rPr>
      </w:pPr>
    </w:p>
    <w:p w14:paraId="0BEBEBB0" w14:textId="09965C55" w:rsidR="00AC724D" w:rsidRPr="007A2D9E" w:rsidRDefault="6836D96B" w:rsidP="6379EAC4">
      <w:pPr>
        <w:pStyle w:val="Subtitle"/>
        <w:rPr>
          <w:rFonts w:ascii="Arial" w:hAnsi="Arial" w:cs="Arial"/>
          <w:color w:val="000000" w:themeColor="text1"/>
          <w:sz w:val="28"/>
          <w:szCs w:val="28"/>
        </w:rPr>
      </w:pPr>
      <w:r w:rsidRPr="6379EAC4">
        <w:rPr>
          <w:rFonts w:ascii="Arial" w:hAnsi="Arial" w:cs="Arial"/>
          <w:color w:val="000000" w:themeColor="text1"/>
          <w:sz w:val="28"/>
          <w:szCs w:val="28"/>
        </w:rPr>
        <w:t xml:space="preserve">Dr Ada Mau, </w:t>
      </w:r>
      <w:r w:rsidR="3C734BB3" w:rsidRPr="6379EAC4">
        <w:rPr>
          <w:rFonts w:ascii="Arial" w:hAnsi="Arial" w:cs="Arial"/>
          <w:color w:val="000000" w:themeColor="text1"/>
          <w:sz w:val="28"/>
          <w:szCs w:val="28"/>
        </w:rPr>
        <w:t>May</w:t>
      </w:r>
      <w:r w:rsidRPr="6379EAC4">
        <w:rPr>
          <w:rFonts w:ascii="Arial" w:hAnsi="Arial" w:cs="Arial"/>
          <w:color w:val="000000" w:themeColor="text1"/>
          <w:sz w:val="28"/>
          <w:szCs w:val="28"/>
        </w:rPr>
        <w:t xml:space="preserve"> 202</w:t>
      </w:r>
      <w:r w:rsidR="02B39D9E" w:rsidRPr="6379EAC4">
        <w:rPr>
          <w:rFonts w:ascii="Arial" w:hAnsi="Arial" w:cs="Arial"/>
          <w:color w:val="000000" w:themeColor="text1"/>
          <w:sz w:val="28"/>
          <w:szCs w:val="28"/>
        </w:rPr>
        <w:t>3</w:t>
      </w:r>
      <w:r w:rsidR="0074074F">
        <w:br/>
      </w:r>
      <w:r w:rsidR="7B63DF30" w:rsidRPr="6379EAC4">
        <w:rPr>
          <w:rFonts w:ascii="Arial" w:hAnsi="Arial" w:cs="Arial"/>
          <w:color w:val="000000" w:themeColor="text1"/>
          <w:sz w:val="28"/>
          <w:szCs w:val="28"/>
        </w:rPr>
        <w:t xml:space="preserve">Outreach </w:t>
      </w:r>
      <w:r w:rsidR="2C8E0E96" w:rsidRPr="6379EAC4">
        <w:rPr>
          <w:rFonts w:ascii="Arial" w:hAnsi="Arial" w:cs="Arial"/>
          <w:color w:val="000000" w:themeColor="text1"/>
          <w:sz w:val="28"/>
          <w:szCs w:val="28"/>
        </w:rPr>
        <w:t>Department</w:t>
      </w:r>
      <w:r w:rsidR="7B63DF30" w:rsidRPr="6379EAC4">
        <w:rPr>
          <w:rFonts w:ascii="Arial" w:hAnsi="Arial" w:cs="Arial"/>
          <w:color w:val="000000" w:themeColor="text1"/>
          <w:sz w:val="28"/>
          <w:szCs w:val="28"/>
        </w:rPr>
        <w:t>, Imperial College London</w:t>
      </w:r>
    </w:p>
    <w:p w14:paraId="6AE5E4E3" w14:textId="77777777" w:rsidR="00AC724D" w:rsidRPr="00457CA9" w:rsidRDefault="00AC724D" w:rsidP="00457CA9">
      <w:pPr>
        <w:spacing w:after="120"/>
        <w:rPr>
          <w:b/>
          <w:bCs/>
          <w:sz w:val="18"/>
          <w:szCs w:val="18"/>
          <w:u w:val="single"/>
        </w:rPr>
      </w:pPr>
    </w:p>
    <w:sdt>
      <w:sdtPr>
        <w:rPr>
          <w:rFonts w:ascii="Arial" w:eastAsiaTheme="minorHAnsi" w:hAnsi="Arial" w:cs="Arial"/>
          <w:color w:val="auto"/>
          <w:sz w:val="24"/>
          <w:szCs w:val="24"/>
          <w:lang w:val="en-GB"/>
        </w:rPr>
        <w:id w:val="904801882"/>
        <w:docPartObj>
          <w:docPartGallery w:val="Table of Contents"/>
          <w:docPartUnique/>
        </w:docPartObj>
      </w:sdtPr>
      <w:sdtEndPr>
        <w:rPr>
          <w:b/>
          <w:bCs/>
          <w:noProof/>
        </w:rPr>
      </w:sdtEndPr>
      <w:sdtContent>
        <w:p w14:paraId="04560011" w14:textId="248B9C48" w:rsidR="001B3B39" w:rsidRDefault="001B3B39">
          <w:pPr>
            <w:pStyle w:val="TOCHeading"/>
          </w:pPr>
          <w:r>
            <w:t>Contents</w:t>
          </w:r>
        </w:p>
        <w:p w14:paraId="08BA1F11" w14:textId="662376AB" w:rsidR="00911A60" w:rsidRDefault="001B3B39">
          <w:pPr>
            <w:pStyle w:val="TOC1"/>
            <w:tabs>
              <w:tab w:val="right" w:leader="dot" w:pos="9912"/>
            </w:tabs>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41256527" w:history="1">
            <w:r w:rsidR="00911A60" w:rsidRPr="00092BFE">
              <w:rPr>
                <w:rStyle w:val="Hyperlink"/>
                <w:b/>
                <w:bCs/>
                <w:noProof/>
              </w:rPr>
              <w:t>Summary</w:t>
            </w:r>
            <w:r w:rsidR="00911A60">
              <w:rPr>
                <w:noProof/>
                <w:webHidden/>
              </w:rPr>
              <w:tab/>
            </w:r>
            <w:r w:rsidR="00911A60">
              <w:rPr>
                <w:noProof/>
                <w:webHidden/>
              </w:rPr>
              <w:fldChar w:fldCharType="begin"/>
            </w:r>
            <w:r w:rsidR="00911A60">
              <w:rPr>
                <w:noProof/>
                <w:webHidden/>
              </w:rPr>
              <w:instrText xml:space="preserve"> PAGEREF _Toc141256527 \h </w:instrText>
            </w:r>
            <w:r w:rsidR="00911A60">
              <w:rPr>
                <w:noProof/>
                <w:webHidden/>
              </w:rPr>
            </w:r>
            <w:r w:rsidR="00911A60">
              <w:rPr>
                <w:noProof/>
                <w:webHidden/>
              </w:rPr>
              <w:fldChar w:fldCharType="separate"/>
            </w:r>
            <w:r w:rsidR="00911A60">
              <w:rPr>
                <w:noProof/>
                <w:webHidden/>
              </w:rPr>
              <w:t>2</w:t>
            </w:r>
            <w:r w:rsidR="00911A60">
              <w:rPr>
                <w:noProof/>
                <w:webHidden/>
              </w:rPr>
              <w:fldChar w:fldCharType="end"/>
            </w:r>
          </w:hyperlink>
        </w:p>
        <w:p w14:paraId="674696A8" w14:textId="5248020E" w:rsidR="00911A60" w:rsidRDefault="00FB0D8A">
          <w:pPr>
            <w:pStyle w:val="TOC2"/>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28" w:history="1">
            <w:r w:rsidR="00911A60" w:rsidRPr="00092BFE">
              <w:rPr>
                <w:rStyle w:val="Hyperlink"/>
                <w:noProof/>
              </w:rPr>
              <w:t>The main questions that were explored</w:t>
            </w:r>
            <w:r w:rsidR="00911A60">
              <w:rPr>
                <w:noProof/>
                <w:webHidden/>
              </w:rPr>
              <w:tab/>
            </w:r>
            <w:r w:rsidR="00911A60">
              <w:rPr>
                <w:noProof/>
                <w:webHidden/>
              </w:rPr>
              <w:fldChar w:fldCharType="begin"/>
            </w:r>
            <w:r w:rsidR="00911A60">
              <w:rPr>
                <w:noProof/>
                <w:webHidden/>
              </w:rPr>
              <w:instrText xml:space="preserve"> PAGEREF _Toc141256528 \h </w:instrText>
            </w:r>
            <w:r w:rsidR="00911A60">
              <w:rPr>
                <w:noProof/>
                <w:webHidden/>
              </w:rPr>
            </w:r>
            <w:r w:rsidR="00911A60">
              <w:rPr>
                <w:noProof/>
                <w:webHidden/>
              </w:rPr>
              <w:fldChar w:fldCharType="separate"/>
            </w:r>
            <w:r w:rsidR="00911A60">
              <w:rPr>
                <w:noProof/>
                <w:webHidden/>
              </w:rPr>
              <w:t>2</w:t>
            </w:r>
            <w:r w:rsidR="00911A60">
              <w:rPr>
                <w:noProof/>
                <w:webHidden/>
              </w:rPr>
              <w:fldChar w:fldCharType="end"/>
            </w:r>
          </w:hyperlink>
        </w:p>
        <w:p w14:paraId="1A0EA6CE" w14:textId="47BAC180" w:rsidR="00911A60" w:rsidRDefault="00FB0D8A">
          <w:pPr>
            <w:pStyle w:val="TOC2"/>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29" w:history="1">
            <w:r w:rsidR="00911A60" w:rsidRPr="00092BFE">
              <w:rPr>
                <w:rStyle w:val="Hyperlink"/>
                <w:noProof/>
              </w:rPr>
              <w:t>A-level Further Maths in context</w:t>
            </w:r>
            <w:r w:rsidR="00911A60">
              <w:rPr>
                <w:noProof/>
                <w:webHidden/>
              </w:rPr>
              <w:tab/>
            </w:r>
            <w:r w:rsidR="00911A60">
              <w:rPr>
                <w:noProof/>
                <w:webHidden/>
              </w:rPr>
              <w:fldChar w:fldCharType="begin"/>
            </w:r>
            <w:r w:rsidR="00911A60">
              <w:rPr>
                <w:noProof/>
                <w:webHidden/>
              </w:rPr>
              <w:instrText xml:space="preserve"> PAGEREF _Toc141256529 \h </w:instrText>
            </w:r>
            <w:r w:rsidR="00911A60">
              <w:rPr>
                <w:noProof/>
                <w:webHidden/>
              </w:rPr>
            </w:r>
            <w:r w:rsidR="00911A60">
              <w:rPr>
                <w:noProof/>
                <w:webHidden/>
              </w:rPr>
              <w:fldChar w:fldCharType="separate"/>
            </w:r>
            <w:r w:rsidR="00911A60">
              <w:rPr>
                <w:noProof/>
                <w:webHidden/>
              </w:rPr>
              <w:t>2</w:t>
            </w:r>
            <w:r w:rsidR="00911A60">
              <w:rPr>
                <w:noProof/>
                <w:webHidden/>
              </w:rPr>
              <w:fldChar w:fldCharType="end"/>
            </w:r>
          </w:hyperlink>
        </w:p>
        <w:p w14:paraId="3F21FA16" w14:textId="3FC70FDF" w:rsidR="00911A60" w:rsidRDefault="00FB0D8A">
          <w:pPr>
            <w:pStyle w:val="TOC1"/>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0" w:history="1">
            <w:r w:rsidR="00911A60" w:rsidRPr="00092BFE">
              <w:rPr>
                <w:rStyle w:val="Hyperlink"/>
                <w:b/>
                <w:bCs/>
                <w:noProof/>
              </w:rPr>
              <w:t>Methods</w:t>
            </w:r>
            <w:r w:rsidR="00911A60">
              <w:rPr>
                <w:noProof/>
                <w:webHidden/>
              </w:rPr>
              <w:tab/>
            </w:r>
            <w:r w:rsidR="00911A60">
              <w:rPr>
                <w:noProof/>
                <w:webHidden/>
              </w:rPr>
              <w:fldChar w:fldCharType="begin"/>
            </w:r>
            <w:r w:rsidR="00911A60">
              <w:rPr>
                <w:noProof/>
                <w:webHidden/>
              </w:rPr>
              <w:instrText xml:space="preserve"> PAGEREF _Toc141256530 \h </w:instrText>
            </w:r>
            <w:r w:rsidR="00911A60">
              <w:rPr>
                <w:noProof/>
                <w:webHidden/>
              </w:rPr>
            </w:r>
            <w:r w:rsidR="00911A60">
              <w:rPr>
                <w:noProof/>
                <w:webHidden/>
              </w:rPr>
              <w:fldChar w:fldCharType="separate"/>
            </w:r>
            <w:r w:rsidR="00911A60">
              <w:rPr>
                <w:noProof/>
                <w:webHidden/>
              </w:rPr>
              <w:t>3</w:t>
            </w:r>
            <w:r w:rsidR="00911A60">
              <w:rPr>
                <w:noProof/>
                <w:webHidden/>
              </w:rPr>
              <w:fldChar w:fldCharType="end"/>
            </w:r>
          </w:hyperlink>
        </w:p>
        <w:p w14:paraId="15840240" w14:textId="2A1D8D6D" w:rsidR="00911A60" w:rsidRDefault="00FB0D8A">
          <w:pPr>
            <w:pStyle w:val="TOC1"/>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1" w:history="1">
            <w:r w:rsidR="00911A60" w:rsidRPr="00092BFE">
              <w:rPr>
                <w:rStyle w:val="Hyperlink"/>
                <w:b/>
                <w:bCs/>
                <w:noProof/>
              </w:rPr>
              <w:t>Results - Understanding Further Maths Uptake and Non-participation</w:t>
            </w:r>
            <w:r w:rsidR="00911A60">
              <w:rPr>
                <w:noProof/>
                <w:webHidden/>
              </w:rPr>
              <w:tab/>
            </w:r>
            <w:r w:rsidR="00911A60">
              <w:rPr>
                <w:noProof/>
                <w:webHidden/>
              </w:rPr>
              <w:fldChar w:fldCharType="begin"/>
            </w:r>
            <w:r w:rsidR="00911A60">
              <w:rPr>
                <w:noProof/>
                <w:webHidden/>
              </w:rPr>
              <w:instrText xml:space="preserve"> PAGEREF _Toc141256531 \h </w:instrText>
            </w:r>
            <w:r w:rsidR="00911A60">
              <w:rPr>
                <w:noProof/>
                <w:webHidden/>
              </w:rPr>
            </w:r>
            <w:r w:rsidR="00911A60">
              <w:rPr>
                <w:noProof/>
                <w:webHidden/>
              </w:rPr>
              <w:fldChar w:fldCharType="separate"/>
            </w:r>
            <w:r w:rsidR="00911A60">
              <w:rPr>
                <w:noProof/>
                <w:webHidden/>
              </w:rPr>
              <w:t>4</w:t>
            </w:r>
            <w:r w:rsidR="00911A60">
              <w:rPr>
                <w:noProof/>
                <w:webHidden/>
              </w:rPr>
              <w:fldChar w:fldCharType="end"/>
            </w:r>
          </w:hyperlink>
        </w:p>
        <w:p w14:paraId="04570614" w14:textId="0B9B6DB7" w:rsidR="00911A60" w:rsidRDefault="00FB0D8A">
          <w:pPr>
            <w:pStyle w:val="TOC2"/>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2" w:history="1">
            <w:r w:rsidR="00911A60" w:rsidRPr="00092BFE">
              <w:rPr>
                <w:rStyle w:val="Hyperlink"/>
                <w:noProof/>
              </w:rPr>
              <w:t>Reasons for Choosing Further Maths</w:t>
            </w:r>
            <w:r w:rsidR="00911A60">
              <w:rPr>
                <w:noProof/>
                <w:webHidden/>
              </w:rPr>
              <w:tab/>
            </w:r>
            <w:r w:rsidR="00911A60">
              <w:rPr>
                <w:noProof/>
                <w:webHidden/>
              </w:rPr>
              <w:fldChar w:fldCharType="begin"/>
            </w:r>
            <w:r w:rsidR="00911A60">
              <w:rPr>
                <w:noProof/>
                <w:webHidden/>
              </w:rPr>
              <w:instrText xml:space="preserve"> PAGEREF _Toc141256532 \h </w:instrText>
            </w:r>
            <w:r w:rsidR="00911A60">
              <w:rPr>
                <w:noProof/>
                <w:webHidden/>
              </w:rPr>
            </w:r>
            <w:r w:rsidR="00911A60">
              <w:rPr>
                <w:noProof/>
                <w:webHidden/>
              </w:rPr>
              <w:fldChar w:fldCharType="separate"/>
            </w:r>
            <w:r w:rsidR="00911A60">
              <w:rPr>
                <w:noProof/>
                <w:webHidden/>
              </w:rPr>
              <w:t>4</w:t>
            </w:r>
            <w:r w:rsidR="00911A60">
              <w:rPr>
                <w:noProof/>
                <w:webHidden/>
              </w:rPr>
              <w:fldChar w:fldCharType="end"/>
            </w:r>
          </w:hyperlink>
        </w:p>
        <w:p w14:paraId="1990E2EB" w14:textId="15A70DBC"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3" w:history="1">
            <w:r w:rsidR="00911A60" w:rsidRPr="00092BFE">
              <w:rPr>
                <w:rStyle w:val="Hyperlink"/>
                <w:b/>
                <w:bCs/>
                <w:noProof/>
              </w:rPr>
              <w:t>A requirement or preferred choice for their university course.</w:t>
            </w:r>
            <w:r w:rsidR="00911A60">
              <w:rPr>
                <w:noProof/>
                <w:webHidden/>
              </w:rPr>
              <w:tab/>
            </w:r>
            <w:r w:rsidR="00911A60">
              <w:rPr>
                <w:noProof/>
                <w:webHidden/>
              </w:rPr>
              <w:fldChar w:fldCharType="begin"/>
            </w:r>
            <w:r w:rsidR="00911A60">
              <w:rPr>
                <w:noProof/>
                <w:webHidden/>
              </w:rPr>
              <w:instrText xml:space="preserve"> PAGEREF _Toc141256533 \h </w:instrText>
            </w:r>
            <w:r w:rsidR="00911A60">
              <w:rPr>
                <w:noProof/>
                <w:webHidden/>
              </w:rPr>
            </w:r>
            <w:r w:rsidR="00911A60">
              <w:rPr>
                <w:noProof/>
                <w:webHidden/>
              </w:rPr>
              <w:fldChar w:fldCharType="separate"/>
            </w:r>
            <w:r w:rsidR="00911A60">
              <w:rPr>
                <w:noProof/>
                <w:webHidden/>
              </w:rPr>
              <w:t>4</w:t>
            </w:r>
            <w:r w:rsidR="00911A60">
              <w:rPr>
                <w:noProof/>
                <w:webHidden/>
              </w:rPr>
              <w:fldChar w:fldCharType="end"/>
            </w:r>
          </w:hyperlink>
        </w:p>
        <w:p w14:paraId="665E06F1" w14:textId="59B006B7"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4" w:history="1">
            <w:r w:rsidR="00911A60" w:rsidRPr="00092BFE">
              <w:rPr>
                <w:rStyle w:val="Hyperlink"/>
                <w:b/>
                <w:bCs/>
                <w:noProof/>
              </w:rPr>
              <w:t>Benefits to their Maths A-level and/or future study.</w:t>
            </w:r>
            <w:r w:rsidR="00911A60">
              <w:rPr>
                <w:noProof/>
                <w:webHidden/>
              </w:rPr>
              <w:tab/>
            </w:r>
            <w:r w:rsidR="00911A60">
              <w:rPr>
                <w:noProof/>
                <w:webHidden/>
              </w:rPr>
              <w:fldChar w:fldCharType="begin"/>
            </w:r>
            <w:r w:rsidR="00911A60">
              <w:rPr>
                <w:noProof/>
                <w:webHidden/>
              </w:rPr>
              <w:instrText xml:space="preserve"> PAGEREF _Toc141256534 \h </w:instrText>
            </w:r>
            <w:r w:rsidR="00911A60">
              <w:rPr>
                <w:noProof/>
                <w:webHidden/>
              </w:rPr>
            </w:r>
            <w:r w:rsidR="00911A60">
              <w:rPr>
                <w:noProof/>
                <w:webHidden/>
              </w:rPr>
              <w:fldChar w:fldCharType="separate"/>
            </w:r>
            <w:r w:rsidR="00911A60">
              <w:rPr>
                <w:noProof/>
                <w:webHidden/>
              </w:rPr>
              <w:t>4</w:t>
            </w:r>
            <w:r w:rsidR="00911A60">
              <w:rPr>
                <w:noProof/>
                <w:webHidden/>
              </w:rPr>
              <w:fldChar w:fldCharType="end"/>
            </w:r>
          </w:hyperlink>
        </w:p>
        <w:p w14:paraId="403D46E2" w14:textId="1445401A"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5" w:history="1">
            <w:r w:rsidR="00911A60" w:rsidRPr="00092BFE">
              <w:rPr>
                <w:rStyle w:val="Hyperlink"/>
                <w:b/>
                <w:bCs/>
                <w:noProof/>
              </w:rPr>
              <w:t>Appreciation of maths</w:t>
            </w:r>
            <w:r w:rsidR="00911A60">
              <w:rPr>
                <w:noProof/>
                <w:webHidden/>
              </w:rPr>
              <w:tab/>
            </w:r>
            <w:r w:rsidR="00911A60">
              <w:rPr>
                <w:noProof/>
                <w:webHidden/>
              </w:rPr>
              <w:fldChar w:fldCharType="begin"/>
            </w:r>
            <w:r w:rsidR="00911A60">
              <w:rPr>
                <w:noProof/>
                <w:webHidden/>
              </w:rPr>
              <w:instrText xml:space="preserve"> PAGEREF _Toc141256535 \h </w:instrText>
            </w:r>
            <w:r w:rsidR="00911A60">
              <w:rPr>
                <w:noProof/>
                <w:webHidden/>
              </w:rPr>
            </w:r>
            <w:r w:rsidR="00911A60">
              <w:rPr>
                <w:noProof/>
                <w:webHidden/>
              </w:rPr>
              <w:fldChar w:fldCharType="separate"/>
            </w:r>
            <w:r w:rsidR="00911A60">
              <w:rPr>
                <w:noProof/>
                <w:webHidden/>
              </w:rPr>
              <w:t>4</w:t>
            </w:r>
            <w:r w:rsidR="00911A60">
              <w:rPr>
                <w:noProof/>
                <w:webHidden/>
              </w:rPr>
              <w:fldChar w:fldCharType="end"/>
            </w:r>
          </w:hyperlink>
        </w:p>
        <w:p w14:paraId="09D52532" w14:textId="650FCD47" w:rsidR="00911A60" w:rsidRDefault="00FB0D8A">
          <w:pPr>
            <w:pStyle w:val="TOC2"/>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6" w:history="1">
            <w:r w:rsidR="00911A60" w:rsidRPr="00092BFE">
              <w:rPr>
                <w:rStyle w:val="Hyperlink"/>
                <w:noProof/>
              </w:rPr>
              <w:t>Reasons for Not Choosing Further Maths</w:t>
            </w:r>
            <w:r w:rsidR="00911A60">
              <w:rPr>
                <w:noProof/>
                <w:webHidden/>
              </w:rPr>
              <w:tab/>
            </w:r>
            <w:r w:rsidR="00911A60">
              <w:rPr>
                <w:noProof/>
                <w:webHidden/>
              </w:rPr>
              <w:fldChar w:fldCharType="begin"/>
            </w:r>
            <w:r w:rsidR="00911A60">
              <w:rPr>
                <w:noProof/>
                <w:webHidden/>
              </w:rPr>
              <w:instrText xml:space="preserve"> PAGEREF _Toc141256536 \h </w:instrText>
            </w:r>
            <w:r w:rsidR="00911A60">
              <w:rPr>
                <w:noProof/>
                <w:webHidden/>
              </w:rPr>
            </w:r>
            <w:r w:rsidR="00911A60">
              <w:rPr>
                <w:noProof/>
                <w:webHidden/>
              </w:rPr>
              <w:fldChar w:fldCharType="separate"/>
            </w:r>
            <w:r w:rsidR="00911A60">
              <w:rPr>
                <w:noProof/>
                <w:webHidden/>
              </w:rPr>
              <w:t>4</w:t>
            </w:r>
            <w:r w:rsidR="00911A60">
              <w:rPr>
                <w:noProof/>
                <w:webHidden/>
              </w:rPr>
              <w:fldChar w:fldCharType="end"/>
            </w:r>
          </w:hyperlink>
        </w:p>
        <w:p w14:paraId="5100A184" w14:textId="3C97D680"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7" w:history="1">
            <w:r w:rsidR="00911A60" w:rsidRPr="00092BFE">
              <w:rPr>
                <w:rStyle w:val="Hyperlink"/>
                <w:b/>
                <w:bCs/>
                <w:noProof/>
              </w:rPr>
              <w:t>Not meeting the course requirement, course unavailability, competing demands or wanting more options.</w:t>
            </w:r>
            <w:r w:rsidR="00911A60">
              <w:rPr>
                <w:noProof/>
                <w:webHidden/>
              </w:rPr>
              <w:tab/>
            </w:r>
            <w:r w:rsidR="00911A60">
              <w:rPr>
                <w:noProof/>
                <w:webHidden/>
              </w:rPr>
              <w:fldChar w:fldCharType="begin"/>
            </w:r>
            <w:r w:rsidR="00911A60">
              <w:rPr>
                <w:noProof/>
                <w:webHidden/>
              </w:rPr>
              <w:instrText xml:space="preserve"> PAGEREF _Toc141256537 \h </w:instrText>
            </w:r>
            <w:r w:rsidR="00911A60">
              <w:rPr>
                <w:noProof/>
                <w:webHidden/>
              </w:rPr>
            </w:r>
            <w:r w:rsidR="00911A60">
              <w:rPr>
                <w:noProof/>
                <w:webHidden/>
              </w:rPr>
              <w:fldChar w:fldCharType="separate"/>
            </w:r>
            <w:r w:rsidR="00911A60">
              <w:rPr>
                <w:noProof/>
                <w:webHidden/>
              </w:rPr>
              <w:t>4</w:t>
            </w:r>
            <w:r w:rsidR="00911A60">
              <w:rPr>
                <w:noProof/>
                <w:webHidden/>
              </w:rPr>
              <w:fldChar w:fldCharType="end"/>
            </w:r>
          </w:hyperlink>
        </w:p>
        <w:p w14:paraId="20412131" w14:textId="0E16093D"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8" w:history="1">
            <w:r w:rsidR="00911A60" w:rsidRPr="00092BFE">
              <w:rPr>
                <w:rStyle w:val="Hyperlink"/>
                <w:b/>
                <w:bCs/>
                <w:noProof/>
              </w:rPr>
              <w:t>Negative perception and reputation of Further Maths</w:t>
            </w:r>
            <w:r w:rsidR="00911A60">
              <w:rPr>
                <w:noProof/>
                <w:webHidden/>
              </w:rPr>
              <w:tab/>
            </w:r>
            <w:r w:rsidR="00911A60">
              <w:rPr>
                <w:noProof/>
                <w:webHidden/>
              </w:rPr>
              <w:fldChar w:fldCharType="begin"/>
            </w:r>
            <w:r w:rsidR="00911A60">
              <w:rPr>
                <w:noProof/>
                <w:webHidden/>
              </w:rPr>
              <w:instrText xml:space="preserve"> PAGEREF _Toc141256538 \h </w:instrText>
            </w:r>
            <w:r w:rsidR="00911A60">
              <w:rPr>
                <w:noProof/>
                <w:webHidden/>
              </w:rPr>
            </w:r>
            <w:r w:rsidR="00911A60">
              <w:rPr>
                <w:noProof/>
                <w:webHidden/>
              </w:rPr>
              <w:fldChar w:fldCharType="separate"/>
            </w:r>
            <w:r w:rsidR="00911A60">
              <w:rPr>
                <w:noProof/>
                <w:webHidden/>
              </w:rPr>
              <w:t>5</w:t>
            </w:r>
            <w:r w:rsidR="00911A60">
              <w:rPr>
                <w:noProof/>
                <w:webHidden/>
              </w:rPr>
              <w:fldChar w:fldCharType="end"/>
            </w:r>
          </w:hyperlink>
        </w:p>
        <w:p w14:paraId="7DA31F47" w14:textId="67873E31"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39" w:history="1">
            <w:r w:rsidR="00911A60" w:rsidRPr="00092BFE">
              <w:rPr>
                <w:rStyle w:val="Hyperlink"/>
                <w:b/>
                <w:bCs/>
                <w:noProof/>
              </w:rPr>
              <w:t>Workload</w:t>
            </w:r>
            <w:r w:rsidR="00911A60">
              <w:rPr>
                <w:noProof/>
                <w:webHidden/>
              </w:rPr>
              <w:tab/>
            </w:r>
            <w:r w:rsidR="00911A60">
              <w:rPr>
                <w:noProof/>
                <w:webHidden/>
              </w:rPr>
              <w:fldChar w:fldCharType="begin"/>
            </w:r>
            <w:r w:rsidR="00911A60">
              <w:rPr>
                <w:noProof/>
                <w:webHidden/>
              </w:rPr>
              <w:instrText xml:space="preserve"> PAGEREF _Toc141256539 \h </w:instrText>
            </w:r>
            <w:r w:rsidR="00911A60">
              <w:rPr>
                <w:noProof/>
                <w:webHidden/>
              </w:rPr>
            </w:r>
            <w:r w:rsidR="00911A60">
              <w:rPr>
                <w:noProof/>
                <w:webHidden/>
              </w:rPr>
              <w:fldChar w:fldCharType="separate"/>
            </w:r>
            <w:r w:rsidR="00911A60">
              <w:rPr>
                <w:noProof/>
                <w:webHidden/>
              </w:rPr>
              <w:t>5</w:t>
            </w:r>
            <w:r w:rsidR="00911A60">
              <w:rPr>
                <w:noProof/>
                <w:webHidden/>
              </w:rPr>
              <w:fldChar w:fldCharType="end"/>
            </w:r>
          </w:hyperlink>
        </w:p>
        <w:p w14:paraId="75F3D5C2" w14:textId="5EE94AC2"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0" w:history="1">
            <w:r w:rsidR="00911A60" w:rsidRPr="00092BFE">
              <w:rPr>
                <w:rStyle w:val="Hyperlink"/>
                <w:b/>
                <w:bCs/>
                <w:noProof/>
              </w:rPr>
              <w:t>Gender related issues</w:t>
            </w:r>
            <w:r w:rsidR="00911A60">
              <w:rPr>
                <w:noProof/>
                <w:webHidden/>
              </w:rPr>
              <w:tab/>
            </w:r>
            <w:r w:rsidR="00911A60">
              <w:rPr>
                <w:noProof/>
                <w:webHidden/>
              </w:rPr>
              <w:fldChar w:fldCharType="begin"/>
            </w:r>
            <w:r w:rsidR="00911A60">
              <w:rPr>
                <w:noProof/>
                <w:webHidden/>
              </w:rPr>
              <w:instrText xml:space="preserve"> PAGEREF _Toc141256540 \h </w:instrText>
            </w:r>
            <w:r w:rsidR="00911A60">
              <w:rPr>
                <w:noProof/>
                <w:webHidden/>
              </w:rPr>
            </w:r>
            <w:r w:rsidR="00911A60">
              <w:rPr>
                <w:noProof/>
                <w:webHidden/>
              </w:rPr>
              <w:fldChar w:fldCharType="separate"/>
            </w:r>
            <w:r w:rsidR="00911A60">
              <w:rPr>
                <w:noProof/>
                <w:webHidden/>
              </w:rPr>
              <w:t>5</w:t>
            </w:r>
            <w:r w:rsidR="00911A60">
              <w:rPr>
                <w:noProof/>
                <w:webHidden/>
              </w:rPr>
              <w:fldChar w:fldCharType="end"/>
            </w:r>
          </w:hyperlink>
        </w:p>
        <w:p w14:paraId="265C7421" w14:textId="776C0CF9" w:rsidR="00911A60" w:rsidRDefault="00FB0D8A">
          <w:pPr>
            <w:pStyle w:val="TOC2"/>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1" w:history="1">
            <w:r w:rsidR="00911A60" w:rsidRPr="00092BFE">
              <w:rPr>
                <w:rStyle w:val="Hyperlink"/>
                <w:noProof/>
              </w:rPr>
              <w:t>Reasons for Dropping Further Maths</w:t>
            </w:r>
            <w:r w:rsidR="00911A60">
              <w:rPr>
                <w:noProof/>
                <w:webHidden/>
              </w:rPr>
              <w:tab/>
            </w:r>
            <w:r w:rsidR="00911A60">
              <w:rPr>
                <w:noProof/>
                <w:webHidden/>
              </w:rPr>
              <w:fldChar w:fldCharType="begin"/>
            </w:r>
            <w:r w:rsidR="00911A60">
              <w:rPr>
                <w:noProof/>
                <w:webHidden/>
              </w:rPr>
              <w:instrText xml:space="preserve"> PAGEREF _Toc141256541 \h </w:instrText>
            </w:r>
            <w:r w:rsidR="00911A60">
              <w:rPr>
                <w:noProof/>
                <w:webHidden/>
              </w:rPr>
            </w:r>
            <w:r w:rsidR="00911A60">
              <w:rPr>
                <w:noProof/>
                <w:webHidden/>
              </w:rPr>
              <w:fldChar w:fldCharType="separate"/>
            </w:r>
            <w:r w:rsidR="00911A60">
              <w:rPr>
                <w:noProof/>
                <w:webHidden/>
              </w:rPr>
              <w:t>5</w:t>
            </w:r>
            <w:r w:rsidR="00911A60">
              <w:rPr>
                <w:noProof/>
                <w:webHidden/>
              </w:rPr>
              <w:fldChar w:fldCharType="end"/>
            </w:r>
          </w:hyperlink>
        </w:p>
        <w:p w14:paraId="43DFEB2F" w14:textId="66068902"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2" w:history="1">
            <w:r w:rsidR="00911A60" w:rsidRPr="00092BFE">
              <w:rPr>
                <w:rStyle w:val="Hyperlink"/>
                <w:b/>
                <w:bCs/>
                <w:noProof/>
              </w:rPr>
              <w:t>Managing workload</w:t>
            </w:r>
            <w:r w:rsidR="00911A60">
              <w:rPr>
                <w:noProof/>
                <w:webHidden/>
              </w:rPr>
              <w:tab/>
            </w:r>
            <w:r w:rsidR="00911A60">
              <w:rPr>
                <w:noProof/>
                <w:webHidden/>
              </w:rPr>
              <w:fldChar w:fldCharType="begin"/>
            </w:r>
            <w:r w:rsidR="00911A60">
              <w:rPr>
                <w:noProof/>
                <w:webHidden/>
              </w:rPr>
              <w:instrText xml:space="preserve"> PAGEREF _Toc141256542 \h </w:instrText>
            </w:r>
            <w:r w:rsidR="00911A60">
              <w:rPr>
                <w:noProof/>
                <w:webHidden/>
              </w:rPr>
            </w:r>
            <w:r w:rsidR="00911A60">
              <w:rPr>
                <w:noProof/>
                <w:webHidden/>
              </w:rPr>
              <w:fldChar w:fldCharType="separate"/>
            </w:r>
            <w:r w:rsidR="00911A60">
              <w:rPr>
                <w:noProof/>
                <w:webHidden/>
              </w:rPr>
              <w:t>5</w:t>
            </w:r>
            <w:r w:rsidR="00911A60">
              <w:rPr>
                <w:noProof/>
                <w:webHidden/>
              </w:rPr>
              <w:fldChar w:fldCharType="end"/>
            </w:r>
          </w:hyperlink>
        </w:p>
        <w:p w14:paraId="004E31B6" w14:textId="6331DDBD" w:rsidR="00911A60" w:rsidRDefault="00FB0D8A">
          <w:pPr>
            <w:pStyle w:val="TOC3"/>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3" w:history="1">
            <w:r w:rsidR="00911A60" w:rsidRPr="00092BFE">
              <w:rPr>
                <w:rStyle w:val="Hyperlink"/>
                <w:b/>
                <w:bCs/>
                <w:noProof/>
              </w:rPr>
              <w:t>Decision made by the school</w:t>
            </w:r>
            <w:r w:rsidR="00911A60">
              <w:rPr>
                <w:noProof/>
                <w:webHidden/>
              </w:rPr>
              <w:tab/>
            </w:r>
            <w:r w:rsidR="00911A60">
              <w:rPr>
                <w:noProof/>
                <w:webHidden/>
              </w:rPr>
              <w:fldChar w:fldCharType="begin"/>
            </w:r>
            <w:r w:rsidR="00911A60">
              <w:rPr>
                <w:noProof/>
                <w:webHidden/>
              </w:rPr>
              <w:instrText xml:space="preserve"> PAGEREF _Toc141256543 \h </w:instrText>
            </w:r>
            <w:r w:rsidR="00911A60">
              <w:rPr>
                <w:noProof/>
                <w:webHidden/>
              </w:rPr>
            </w:r>
            <w:r w:rsidR="00911A60">
              <w:rPr>
                <w:noProof/>
                <w:webHidden/>
              </w:rPr>
              <w:fldChar w:fldCharType="separate"/>
            </w:r>
            <w:r w:rsidR="00911A60">
              <w:rPr>
                <w:noProof/>
                <w:webHidden/>
              </w:rPr>
              <w:t>5</w:t>
            </w:r>
            <w:r w:rsidR="00911A60">
              <w:rPr>
                <w:noProof/>
                <w:webHidden/>
              </w:rPr>
              <w:fldChar w:fldCharType="end"/>
            </w:r>
          </w:hyperlink>
        </w:p>
        <w:p w14:paraId="52D5B91B" w14:textId="3E519C54" w:rsidR="00911A60" w:rsidRDefault="00FB0D8A">
          <w:pPr>
            <w:pStyle w:val="TOC1"/>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4" w:history="1">
            <w:r w:rsidR="00911A60" w:rsidRPr="00092BFE">
              <w:rPr>
                <w:rStyle w:val="Hyperlink"/>
                <w:b/>
                <w:bCs/>
                <w:noProof/>
              </w:rPr>
              <w:t>Conclusion – Further Maths capital + habitus?</w:t>
            </w:r>
            <w:r w:rsidR="00911A60">
              <w:rPr>
                <w:noProof/>
                <w:webHidden/>
              </w:rPr>
              <w:tab/>
            </w:r>
            <w:r w:rsidR="00911A60">
              <w:rPr>
                <w:noProof/>
                <w:webHidden/>
              </w:rPr>
              <w:fldChar w:fldCharType="begin"/>
            </w:r>
            <w:r w:rsidR="00911A60">
              <w:rPr>
                <w:noProof/>
                <w:webHidden/>
              </w:rPr>
              <w:instrText xml:space="preserve"> PAGEREF _Toc141256544 \h </w:instrText>
            </w:r>
            <w:r w:rsidR="00911A60">
              <w:rPr>
                <w:noProof/>
                <w:webHidden/>
              </w:rPr>
            </w:r>
            <w:r w:rsidR="00911A60">
              <w:rPr>
                <w:noProof/>
                <w:webHidden/>
              </w:rPr>
              <w:fldChar w:fldCharType="separate"/>
            </w:r>
            <w:r w:rsidR="00911A60">
              <w:rPr>
                <w:noProof/>
                <w:webHidden/>
              </w:rPr>
              <w:t>6</w:t>
            </w:r>
            <w:r w:rsidR="00911A60">
              <w:rPr>
                <w:noProof/>
                <w:webHidden/>
              </w:rPr>
              <w:fldChar w:fldCharType="end"/>
            </w:r>
          </w:hyperlink>
        </w:p>
        <w:p w14:paraId="6C2B1E2B" w14:textId="795E680A" w:rsidR="00911A60" w:rsidRDefault="00FB0D8A">
          <w:pPr>
            <w:pStyle w:val="TOC2"/>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5" w:history="1">
            <w:r w:rsidR="00911A60" w:rsidRPr="00092BFE">
              <w:rPr>
                <w:rStyle w:val="Hyperlink"/>
                <w:noProof/>
              </w:rPr>
              <w:t>Further Maths Habitus?</w:t>
            </w:r>
            <w:r w:rsidR="00911A60">
              <w:rPr>
                <w:noProof/>
                <w:webHidden/>
              </w:rPr>
              <w:tab/>
            </w:r>
            <w:r w:rsidR="00911A60">
              <w:rPr>
                <w:noProof/>
                <w:webHidden/>
              </w:rPr>
              <w:fldChar w:fldCharType="begin"/>
            </w:r>
            <w:r w:rsidR="00911A60">
              <w:rPr>
                <w:noProof/>
                <w:webHidden/>
              </w:rPr>
              <w:instrText xml:space="preserve"> PAGEREF _Toc141256545 \h </w:instrText>
            </w:r>
            <w:r w:rsidR="00911A60">
              <w:rPr>
                <w:noProof/>
                <w:webHidden/>
              </w:rPr>
            </w:r>
            <w:r w:rsidR="00911A60">
              <w:rPr>
                <w:noProof/>
                <w:webHidden/>
              </w:rPr>
              <w:fldChar w:fldCharType="separate"/>
            </w:r>
            <w:r w:rsidR="00911A60">
              <w:rPr>
                <w:noProof/>
                <w:webHidden/>
              </w:rPr>
              <w:t>6</w:t>
            </w:r>
            <w:r w:rsidR="00911A60">
              <w:rPr>
                <w:noProof/>
                <w:webHidden/>
              </w:rPr>
              <w:fldChar w:fldCharType="end"/>
            </w:r>
          </w:hyperlink>
        </w:p>
        <w:p w14:paraId="4D314C49" w14:textId="07FFA030" w:rsidR="00911A60" w:rsidRDefault="00FB0D8A">
          <w:pPr>
            <w:pStyle w:val="TOC2"/>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6" w:history="1">
            <w:r w:rsidR="00911A60" w:rsidRPr="00092BFE">
              <w:rPr>
                <w:rStyle w:val="Hyperlink"/>
                <w:noProof/>
              </w:rPr>
              <w:t>Further Maths Capital</w:t>
            </w:r>
            <w:r w:rsidR="00911A60">
              <w:rPr>
                <w:noProof/>
                <w:webHidden/>
              </w:rPr>
              <w:tab/>
            </w:r>
            <w:r w:rsidR="00911A60">
              <w:rPr>
                <w:noProof/>
                <w:webHidden/>
              </w:rPr>
              <w:fldChar w:fldCharType="begin"/>
            </w:r>
            <w:r w:rsidR="00911A60">
              <w:rPr>
                <w:noProof/>
                <w:webHidden/>
              </w:rPr>
              <w:instrText xml:space="preserve"> PAGEREF _Toc141256546 \h </w:instrText>
            </w:r>
            <w:r w:rsidR="00911A60">
              <w:rPr>
                <w:noProof/>
                <w:webHidden/>
              </w:rPr>
            </w:r>
            <w:r w:rsidR="00911A60">
              <w:rPr>
                <w:noProof/>
                <w:webHidden/>
              </w:rPr>
              <w:fldChar w:fldCharType="separate"/>
            </w:r>
            <w:r w:rsidR="00911A60">
              <w:rPr>
                <w:noProof/>
                <w:webHidden/>
              </w:rPr>
              <w:t>7</w:t>
            </w:r>
            <w:r w:rsidR="00911A60">
              <w:rPr>
                <w:noProof/>
                <w:webHidden/>
              </w:rPr>
              <w:fldChar w:fldCharType="end"/>
            </w:r>
          </w:hyperlink>
        </w:p>
        <w:p w14:paraId="77485F50" w14:textId="0317FE55" w:rsidR="00911A60" w:rsidRDefault="00FB0D8A">
          <w:pPr>
            <w:pStyle w:val="TOC1"/>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7" w:history="1">
            <w:r w:rsidR="00911A60" w:rsidRPr="00092BFE">
              <w:rPr>
                <w:rStyle w:val="Hyperlink"/>
                <w:b/>
                <w:bCs/>
                <w:noProof/>
              </w:rPr>
              <w:t>Project conclusions and recommendations</w:t>
            </w:r>
            <w:r w:rsidR="00911A60">
              <w:rPr>
                <w:noProof/>
                <w:webHidden/>
              </w:rPr>
              <w:tab/>
            </w:r>
            <w:r w:rsidR="00911A60">
              <w:rPr>
                <w:noProof/>
                <w:webHidden/>
              </w:rPr>
              <w:fldChar w:fldCharType="begin"/>
            </w:r>
            <w:r w:rsidR="00911A60">
              <w:rPr>
                <w:noProof/>
                <w:webHidden/>
              </w:rPr>
              <w:instrText xml:space="preserve"> PAGEREF _Toc141256547 \h </w:instrText>
            </w:r>
            <w:r w:rsidR="00911A60">
              <w:rPr>
                <w:noProof/>
                <w:webHidden/>
              </w:rPr>
            </w:r>
            <w:r w:rsidR="00911A60">
              <w:rPr>
                <w:noProof/>
                <w:webHidden/>
              </w:rPr>
              <w:fldChar w:fldCharType="separate"/>
            </w:r>
            <w:r w:rsidR="00911A60">
              <w:rPr>
                <w:noProof/>
                <w:webHidden/>
              </w:rPr>
              <w:t>8</w:t>
            </w:r>
            <w:r w:rsidR="00911A60">
              <w:rPr>
                <w:noProof/>
                <w:webHidden/>
              </w:rPr>
              <w:fldChar w:fldCharType="end"/>
            </w:r>
          </w:hyperlink>
        </w:p>
        <w:p w14:paraId="2E7D7540" w14:textId="6E9375DE" w:rsidR="00911A60" w:rsidRDefault="00FB0D8A">
          <w:pPr>
            <w:pStyle w:val="TOC1"/>
            <w:tabs>
              <w:tab w:val="right" w:leader="dot" w:pos="9912"/>
            </w:tabs>
            <w:rPr>
              <w:rFonts w:asciiTheme="minorHAnsi" w:eastAsiaTheme="minorEastAsia" w:hAnsiTheme="minorHAnsi" w:cstheme="minorBidi"/>
              <w:noProof/>
              <w:kern w:val="2"/>
              <w:sz w:val="22"/>
              <w:szCs w:val="22"/>
              <w:lang w:eastAsia="en-GB"/>
              <w14:ligatures w14:val="standardContextual"/>
            </w:rPr>
          </w:pPr>
          <w:hyperlink w:anchor="_Toc141256548" w:history="1">
            <w:r w:rsidR="00911A60" w:rsidRPr="00092BFE">
              <w:rPr>
                <w:rStyle w:val="Hyperlink"/>
                <w:b/>
                <w:bCs/>
                <w:noProof/>
              </w:rPr>
              <w:t>References</w:t>
            </w:r>
            <w:r w:rsidR="00911A60">
              <w:rPr>
                <w:noProof/>
                <w:webHidden/>
              </w:rPr>
              <w:tab/>
            </w:r>
            <w:r w:rsidR="00911A60">
              <w:rPr>
                <w:noProof/>
                <w:webHidden/>
              </w:rPr>
              <w:fldChar w:fldCharType="begin"/>
            </w:r>
            <w:r w:rsidR="00911A60">
              <w:rPr>
                <w:noProof/>
                <w:webHidden/>
              </w:rPr>
              <w:instrText xml:space="preserve"> PAGEREF _Toc141256548 \h </w:instrText>
            </w:r>
            <w:r w:rsidR="00911A60">
              <w:rPr>
                <w:noProof/>
                <w:webHidden/>
              </w:rPr>
            </w:r>
            <w:r w:rsidR="00911A60">
              <w:rPr>
                <w:noProof/>
                <w:webHidden/>
              </w:rPr>
              <w:fldChar w:fldCharType="separate"/>
            </w:r>
            <w:r w:rsidR="00911A60">
              <w:rPr>
                <w:noProof/>
                <w:webHidden/>
              </w:rPr>
              <w:t>9</w:t>
            </w:r>
            <w:r w:rsidR="00911A60">
              <w:rPr>
                <w:noProof/>
                <w:webHidden/>
              </w:rPr>
              <w:fldChar w:fldCharType="end"/>
            </w:r>
          </w:hyperlink>
        </w:p>
        <w:p w14:paraId="724D3C0D" w14:textId="1E07F563" w:rsidR="001B3B39" w:rsidRDefault="001B3B39">
          <w:r>
            <w:rPr>
              <w:b/>
              <w:bCs/>
              <w:noProof/>
            </w:rPr>
            <w:fldChar w:fldCharType="end"/>
          </w:r>
        </w:p>
      </w:sdtContent>
    </w:sdt>
    <w:p w14:paraId="6AEC8091" w14:textId="70AE49E0" w:rsidR="001B3B39" w:rsidRPr="0012721A" w:rsidRDefault="0012721A" w:rsidP="0012721A">
      <w:pPr>
        <w:pStyle w:val="Heading1"/>
        <w:rPr>
          <w:rFonts w:ascii="Arial" w:hAnsi="Arial" w:cs="Arial"/>
          <w:b/>
          <w:bCs/>
          <w:sz w:val="24"/>
          <w:szCs w:val="24"/>
        </w:rPr>
      </w:pPr>
      <w:bookmarkStart w:id="0" w:name="_Toc141256527"/>
      <w:r w:rsidRPr="0012721A">
        <w:rPr>
          <w:rFonts w:ascii="Arial" w:hAnsi="Arial" w:cs="Arial"/>
          <w:b/>
          <w:bCs/>
        </w:rPr>
        <w:lastRenderedPageBreak/>
        <w:t>Summary</w:t>
      </w:r>
      <w:bookmarkEnd w:id="0"/>
    </w:p>
    <w:p w14:paraId="79EEE49C" w14:textId="32B2191D" w:rsidR="00E64A9F" w:rsidRPr="002F0F3D" w:rsidRDefault="58ADEEE3" w:rsidP="00E64A9F">
      <w:pPr>
        <w:spacing w:after="120"/>
      </w:pPr>
      <w:r>
        <w:t>This study explores</w:t>
      </w:r>
      <w:r w:rsidR="02B13016">
        <w:t xml:space="preserve"> the uptake of </w:t>
      </w:r>
      <w:r w:rsidR="108D3675">
        <w:t>A-level</w:t>
      </w:r>
      <w:r w:rsidR="02B13016">
        <w:t xml:space="preserve"> Further </w:t>
      </w:r>
      <w:r w:rsidR="2C8E0E96">
        <w:t>Mathematics (also known as Further Maths</w:t>
      </w:r>
      <w:proofErr w:type="gramStart"/>
      <w:r w:rsidR="2C8E0E96">
        <w:t>)</w:t>
      </w:r>
      <w:r w:rsidR="02B13016">
        <w:t>, and</w:t>
      </w:r>
      <w:proofErr w:type="gramEnd"/>
      <w:r w:rsidR="02B13016">
        <w:t xml:space="preserve"> sets out</w:t>
      </w:r>
      <w:r>
        <w:t xml:space="preserve"> the context</w:t>
      </w:r>
      <w:r w:rsidR="02B13016">
        <w:t xml:space="preserve"> and barriers which contribute to inequalities in participation</w:t>
      </w:r>
      <w:r w:rsidR="2C8E0E96">
        <w:t xml:space="preserve"> in the UK</w:t>
      </w:r>
      <w:r>
        <w:t>. The Outreach Department</w:t>
      </w:r>
      <w:r w:rsidR="67B8B3FA">
        <w:t xml:space="preserve"> at Imperial College London</w:t>
      </w:r>
      <w:r>
        <w:t xml:space="preserve"> </w:t>
      </w:r>
      <w:r w:rsidR="446FD3C6">
        <w:t xml:space="preserve">currently </w:t>
      </w:r>
      <w:r>
        <w:t xml:space="preserve">runs the </w:t>
      </w:r>
      <w:r w:rsidR="446FD3C6">
        <w:t>‘</w:t>
      </w:r>
      <w:r>
        <w:t>Further mA*</w:t>
      </w:r>
      <w:proofErr w:type="spellStart"/>
      <w:r>
        <w:t>ths</w:t>
      </w:r>
      <w:proofErr w:type="spellEnd"/>
      <w:r>
        <w:t xml:space="preserve"> Online Programme</w:t>
      </w:r>
      <w:r w:rsidR="446FD3C6">
        <w:t>’</w:t>
      </w:r>
      <w:r>
        <w:t xml:space="preserve">, </w:t>
      </w:r>
      <w:r w:rsidR="4DDEA9C2">
        <w:t xml:space="preserve">which is </w:t>
      </w:r>
      <w:r>
        <w:t>supported by the Hg Foundation</w:t>
      </w:r>
      <w:r w:rsidR="4DDEA9C2">
        <w:t xml:space="preserve"> and </w:t>
      </w:r>
      <w:r>
        <w:t xml:space="preserve">aims to assist </w:t>
      </w:r>
      <w:r w:rsidR="108D3675">
        <w:t>A-level</w:t>
      </w:r>
      <w:r>
        <w:t xml:space="preserve"> Further Mathematics students who are considering studying a maths-related degree at university. We</w:t>
      </w:r>
      <w:r w:rsidR="446FD3C6">
        <w:t xml:space="preserve"> would like to gain more understanding o</w:t>
      </w:r>
      <w:r w:rsidR="7174DF05">
        <w:t>f</w:t>
      </w:r>
      <w:r w:rsidR="446FD3C6">
        <w:t xml:space="preserve"> why</w:t>
      </w:r>
      <w:r>
        <w:t>, even when it is an option, students are not taking Further Maths</w:t>
      </w:r>
      <w:r w:rsidR="446FD3C6">
        <w:t>. We</w:t>
      </w:r>
      <w:r>
        <w:t xml:space="preserve"> </w:t>
      </w:r>
      <w:r w:rsidR="446FD3C6">
        <w:t xml:space="preserve">are interested in </w:t>
      </w:r>
      <w:r>
        <w:t xml:space="preserve">ways to support raising attainment at GCSEs to enable more students to have the option </w:t>
      </w:r>
      <w:r w:rsidR="07F33C62">
        <w:t xml:space="preserve">of </w:t>
      </w:r>
      <w:r>
        <w:t>study</w:t>
      </w:r>
      <w:r w:rsidR="07F33C62">
        <w:t>ing</w:t>
      </w:r>
      <w:r>
        <w:t xml:space="preserve"> Further Maths at </w:t>
      </w:r>
      <w:r w:rsidR="108D3675">
        <w:t>A-level</w:t>
      </w:r>
      <w:r>
        <w:t xml:space="preserve">. </w:t>
      </w:r>
    </w:p>
    <w:p w14:paraId="44168582" w14:textId="7EB55DB9" w:rsidR="00D24CF5" w:rsidRPr="002F0F3D" w:rsidRDefault="00D24CF5" w:rsidP="00D24CF5">
      <w:pPr>
        <w:spacing w:after="120"/>
      </w:pPr>
      <w:r w:rsidRPr="002F0F3D">
        <w:t xml:space="preserve">Advanced mathematics qualifications are </w:t>
      </w:r>
      <w:r w:rsidR="00D658E4" w:rsidRPr="002F0F3D">
        <w:t xml:space="preserve">a </w:t>
      </w:r>
      <w:r w:rsidRPr="002F0F3D">
        <w:t xml:space="preserve">vital requirement for studying STEM </w:t>
      </w:r>
      <w:r w:rsidR="00F533CB" w:rsidRPr="002F0F3D">
        <w:t xml:space="preserve">degrees </w:t>
      </w:r>
      <w:r w:rsidRPr="002F0F3D">
        <w:t>at university and for the wider economy</w:t>
      </w:r>
      <w:r w:rsidR="00F533CB" w:rsidRPr="002F0F3D">
        <w:t>.</w:t>
      </w:r>
      <w:r w:rsidRPr="002F0F3D">
        <w:t xml:space="preserve"> </w:t>
      </w:r>
      <w:r w:rsidR="00F533CB" w:rsidRPr="002F0F3D">
        <w:t>M</w:t>
      </w:r>
      <w:r w:rsidRPr="002F0F3D">
        <w:t xml:space="preserve">ost STEM degree entries require good Maths grades at </w:t>
      </w:r>
      <w:r w:rsidR="0044601E" w:rsidRPr="002F0F3D">
        <w:t>A-level</w:t>
      </w:r>
      <w:r w:rsidRPr="002F0F3D">
        <w:t xml:space="preserve">, </w:t>
      </w:r>
      <w:r w:rsidR="001A4B28" w:rsidRPr="002F0F3D">
        <w:t>and some</w:t>
      </w:r>
      <w:r w:rsidRPr="002F0F3D">
        <w:t xml:space="preserve"> courses</w:t>
      </w:r>
      <w:r w:rsidR="00D658E4" w:rsidRPr="002F0F3D">
        <w:t>,</w:t>
      </w:r>
      <w:r w:rsidRPr="002F0F3D">
        <w:t xml:space="preserve"> such as Maths</w:t>
      </w:r>
      <w:r w:rsidR="00F533CB" w:rsidRPr="002F0F3D">
        <w:t>, Physics</w:t>
      </w:r>
      <w:r w:rsidRPr="002F0F3D">
        <w:t xml:space="preserve"> and Engineering </w:t>
      </w:r>
      <w:r w:rsidR="00F533CB" w:rsidRPr="002F0F3D">
        <w:t>at Imperial College London and other selective universities</w:t>
      </w:r>
      <w:r w:rsidR="00D658E4" w:rsidRPr="002F0F3D">
        <w:t>,</w:t>
      </w:r>
      <w:r w:rsidR="00F533CB" w:rsidRPr="002F0F3D">
        <w:t xml:space="preserve"> </w:t>
      </w:r>
      <w:r w:rsidRPr="002F0F3D">
        <w:t>also require</w:t>
      </w:r>
      <w:r w:rsidR="00DD25D0" w:rsidRPr="002F0F3D">
        <w:t>/ prefer</w:t>
      </w:r>
      <w:r w:rsidRPr="002F0F3D">
        <w:t xml:space="preserve"> good results in </w:t>
      </w:r>
      <w:r w:rsidR="0044601E" w:rsidRPr="002F0F3D">
        <w:t>A-level</w:t>
      </w:r>
      <w:r w:rsidRPr="002F0F3D">
        <w:t xml:space="preserve"> Further Maths. Performing well at Further Maths is also known to ease the transition from </w:t>
      </w:r>
      <w:r w:rsidR="0044601E" w:rsidRPr="002F0F3D">
        <w:t>A-level</w:t>
      </w:r>
      <w:r w:rsidRPr="002F0F3D">
        <w:t xml:space="preserve"> into a range of STEM degree courses, setting up students to succeed. </w:t>
      </w:r>
    </w:p>
    <w:p w14:paraId="2FE87102" w14:textId="6D4373AD" w:rsidR="00D24CF5" w:rsidRDefault="00D24CF5" w:rsidP="00D24CF5">
      <w:pPr>
        <w:spacing w:after="120"/>
      </w:pPr>
      <w:r w:rsidRPr="002F0F3D">
        <w:t xml:space="preserve">However, participation and attainment in </w:t>
      </w:r>
      <w:r w:rsidR="0044601E" w:rsidRPr="002F0F3D">
        <w:t>A-level</w:t>
      </w:r>
      <w:r w:rsidRPr="002F0F3D">
        <w:t xml:space="preserve"> maths qualifications are </w:t>
      </w:r>
      <w:r w:rsidR="001A4B28" w:rsidRPr="002F0F3D">
        <w:t xml:space="preserve">both </w:t>
      </w:r>
      <w:r w:rsidRPr="002F0F3D">
        <w:t>unequal.</w:t>
      </w:r>
      <w:r w:rsidR="00C756E4" w:rsidRPr="002F0F3D">
        <w:t xml:space="preserve"> Along with existing research on outreach work and </w:t>
      </w:r>
      <w:r w:rsidR="006522F4" w:rsidRPr="002F0F3D">
        <w:t>M</w:t>
      </w:r>
      <w:r w:rsidR="00C756E4" w:rsidRPr="002F0F3D">
        <w:t xml:space="preserve">aths education, findings from this study, also funded by </w:t>
      </w:r>
      <w:r w:rsidR="000E260C" w:rsidRPr="002F0F3D">
        <w:t xml:space="preserve">the </w:t>
      </w:r>
      <w:r w:rsidR="00C756E4" w:rsidRPr="002F0F3D">
        <w:t>H</w:t>
      </w:r>
      <w:r w:rsidR="00E07CC6" w:rsidRPr="002F0F3D">
        <w:t>g</w:t>
      </w:r>
      <w:r w:rsidR="00C756E4" w:rsidRPr="002F0F3D">
        <w:t xml:space="preserve"> Foundation, will be vital to inform the plans for future maths outreach intervention. The findings can also provide better understanding of challenges relating to advanced </w:t>
      </w:r>
      <w:r w:rsidR="005415BA" w:rsidRPr="002F0F3D">
        <w:t>M</w:t>
      </w:r>
      <w:r w:rsidR="00C756E4" w:rsidRPr="002F0F3D">
        <w:t xml:space="preserve">aths (non)participation in England. </w:t>
      </w:r>
    </w:p>
    <w:p w14:paraId="67F21EE7" w14:textId="77777777" w:rsidR="00A65A04" w:rsidRPr="002F0F3D" w:rsidRDefault="00A65A04" w:rsidP="00D24CF5">
      <w:pPr>
        <w:spacing w:after="120"/>
      </w:pPr>
    </w:p>
    <w:p w14:paraId="74F05135" w14:textId="5BFCD4F4" w:rsidR="000C428C" w:rsidRPr="0012721A" w:rsidRDefault="0074074F" w:rsidP="0012721A">
      <w:pPr>
        <w:pStyle w:val="Heading2"/>
        <w:rPr>
          <w:rFonts w:ascii="Arial" w:hAnsi="Arial" w:cs="Arial"/>
          <w:sz w:val="28"/>
          <w:szCs w:val="28"/>
        </w:rPr>
      </w:pPr>
      <w:bookmarkStart w:id="1" w:name="_Toc141256528"/>
      <w:r w:rsidRPr="0012721A">
        <w:rPr>
          <w:rFonts w:ascii="Arial" w:hAnsi="Arial" w:cs="Arial"/>
          <w:sz w:val="28"/>
          <w:szCs w:val="28"/>
        </w:rPr>
        <w:t>The m</w:t>
      </w:r>
      <w:r w:rsidR="000C428C" w:rsidRPr="0012721A">
        <w:rPr>
          <w:rFonts w:ascii="Arial" w:hAnsi="Arial" w:cs="Arial"/>
          <w:sz w:val="28"/>
          <w:szCs w:val="28"/>
        </w:rPr>
        <w:t>ain questions</w:t>
      </w:r>
      <w:r w:rsidRPr="0012721A">
        <w:rPr>
          <w:rFonts w:ascii="Arial" w:hAnsi="Arial" w:cs="Arial"/>
          <w:sz w:val="28"/>
          <w:szCs w:val="28"/>
        </w:rPr>
        <w:t xml:space="preserve"> that were</w:t>
      </w:r>
      <w:r w:rsidR="000C428C" w:rsidRPr="0012721A">
        <w:rPr>
          <w:rFonts w:ascii="Arial" w:hAnsi="Arial" w:cs="Arial"/>
          <w:sz w:val="28"/>
          <w:szCs w:val="28"/>
        </w:rPr>
        <w:t xml:space="preserve"> explored</w:t>
      </w:r>
      <w:bookmarkEnd w:id="1"/>
      <w:r w:rsidR="004C5095" w:rsidRPr="0012721A">
        <w:rPr>
          <w:rFonts w:ascii="Arial" w:hAnsi="Arial" w:cs="Arial"/>
          <w:sz w:val="28"/>
          <w:szCs w:val="28"/>
        </w:rPr>
        <w:t xml:space="preserve"> </w:t>
      </w:r>
    </w:p>
    <w:p w14:paraId="3D5C2444" w14:textId="587A3C81" w:rsidR="00C85D7F" w:rsidRPr="002F0F3D" w:rsidRDefault="00C85D7F" w:rsidP="00C85D7F">
      <w:pPr>
        <w:pStyle w:val="ListParagraph"/>
        <w:numPr>
          <w:ilvl w:val="0"/>
          <w:numId w:val="1"/>
        </w:numPr>
        <w:spacing w:after="120"/>
      </w:pPr>
      <w:r w:rsidRPr="002F0F3D">
        <w:t>Why do students who are interested in STEM subjects choose to/not to study Maths and Further Maths A</w:t>
      </w:r>
      <w:r w:rsidR="0044601E" w:rsidRPr="002F0F3D">
        <w:t>-l</w:t>
      </w:r>
      <w:r w:rsidRPr="002F0F3D">
        <w:t xml:space="preserve">evels? What are the main factors that encourage students’ progression to advanced maths? </w:t>
      </w:r>
    </w:p>
    <w:p w14:paraId="12E82909" w14:textId="100B7D93" w:rsidR="00C85D7F" w:rsidRPr="002F0F3D" w:rsidRDefault="00C85D7F" w:rsidP="00C85D7F">
      <w:pPr>
        <w:pStyle w:val="ListParagraph"/>
        <w:numPr>
          <w:ilvl w:val="0"/>
          <w:numId w:val="1"/>
        </w:numPr>
        <w:spacing w:after="120"/>
      </w:pPr>
      <w:r w:rsidRPr="002F0F3D">
        <w:t>What are students’ views, experiences and perceptions of studying maths at advanced levels, including A</w:t>
      </w:r>
      <w:r w:rsidR="0044601E" w:rsidRPr="002F0F3D">
        <w:t>-l</w:t>
      </w:r>
      <w:r w:rsidRPr="002F0F3D">
        <w:t xml:space="preserve">evels and university (potentially in the future)? </w:t>
      </w:r>
    </w:p>
    <w:p w14:paraId="40D49F2C" w14:textId="25938D87" w:rsidR="00C85D7F" w:rsidRDefault="00C85D7F" w:rsidP="00C85D7F">
      <w:pPr>
        <w:pStyle w:val="ListParagraph"/>
        <w:numPr>
          <w:ilvl w:val="0"/>
          <w:numId w:val="1"/>
        </w:numPr>
        <w:spacing w:after="120"/>
      </w:pPr>
      <w:r w:rsidRPr="002F0F3D">
        <w:t xml:space="preserve">What are participants’ perceptions of useful strategies which could support raising students’ GCSE attainment and facilitate progression to Further Maths </w:t>
      </w:r>
      <w:r w:rsidR="0044601E" w:rsidRPr="002F0F3D">
        <w:t>A-l</w:t>
      </w:r>
      <w:r w:rsidRPr="002F0F3D">
        <w:t>evel, particularly for those from disadvantaged backgrounds and/or underrepresented groups?</w:t>
      </w:r>
    </w:p>
    <w:p w14:paraId="4B04605C" w14:textId="6E2B6DC9" w:rsidR="00A60B1C" w:rsidRPr="0012721A" w:rsidRDefault="002D34EB" w:rsidP="6379EAC4">
      <w:pPr>
        <w:pStyle w:val="Heading2"/>
        <w:spacing w:after="120"/>
        <w:rPr>
          <w:rFonts w:ascii="Arial" w:hAnsi="Arial" w:cs="Arial"/>
          <w:sz w:val="28"/>
          <w:szCs w:val="28"/>
        </w:rPr>
      </w:pPr>
      <w:bookmarkStart w:id="2" w:name="_Toc141256529"/>
      <w:r>
        <w:rPr>
          <w:noProof/>
        </w:rPr>
        <w:drawing>
          <wp:anchor distT="0" distB="0" distL="114300" distR="114300" simplePos="0" relativeHeight="251658240" behindDoc="1" locked="0" layoutInCell="1" allowOverlap="1" wp14:anchorId="1E37712C" wp14:editId="11D2E042">
            <wp:simplePos x="0" y="0"/>
            <wp:positionH relativeFrom="column">
              <wp:posOffset>3989342</wp:posOffset>
            </wp:positionH>
            <wp:positionV relativeFrom="paragraph">
              <wp:posOffset>142240</wp:posOffset>
            </wp:positionV>
            <wp:extent cx="2414905" cy="2457450"/>
            <wp:effectExtent l="0" t="0" r="4445" b="0"/>
            <wp:wrapTight wrapText="bothSides">
              <wp:wrapPolygon edited="0">
                <wp:start x="0" y="0"/>
                <wp:lineTo x="0" y="21433"/>
                <wp:lineTo x="21469" y="21433"/>
                <wp:lineTo x="21469" y="0"/>
                <wp:lineTo x="0" y="0"/>
              </wp:wrapPolygon>
            </wp:wrapTight>
            <wp:docPr id="3" name="Picture 3" descr="Statistics graphic.&#10;In 2021 of all students in England. 4.7% of A level students at state schools took Further Maths verses 10.1% at independent schools. &#10;&#10;In 2022 of the 18 year old in UK who sat the exam 40.7% achieved an A* in A level Further Maths, and 22.8% achieved an A* in A-level M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istics graphic.&#10;In 2021 of all students in England. 4.7% of A level students at state schools took Further Maths verses 10.1% at independent schools. &#10;&#10;In 2022 of the 18 year old in UK who sat the exam 40.7% achieved an A* in A level Further Maths, and 22.8% achieved an A* in A-level Math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4905" cy="2457450"/>
                    </a:xfrm>
                    <a:prstGeom prst="rect">
                      <a:avLst/>
                    </a:prstGeom>
                  </pic:spPr>
                </pic:pic>
              </a:graphicData>
            </a:graphic>
            <wp14:sizeRelH relativeFrom="margin">
              <wp14:pctWidth>0</wp14:pctWidth>
            </wp14:sizeRelH>
            <wp14:sizeRelV relativeFrom="margin">
              <wp14:pctHeight>0</wp14:pctHeight>
            </wp14:sizeRelV>
          </wp:anchor>
        </w:drawing>
      </w:r>
      <w:r w:rsidR="7B63DF30" w:rsidRPr="0012721A">
        <w:rPr>
          <w:rFonts w:ascii="Arial" w:hAnsi="Arial" w:cs="Arial"/>
          <w:sz w:val="28"/>
          <w:szCs w:val="28"/>
        </w:rPr>
        <w:t>A-level Further Maths in context</w:t>
      </w:r>
      <w:bookmarkEnd w:id="2"/>
    </w:p>
    <w:p w14:paraId="39EA590D" w14:textId="7D6A32CA" w:rsidR="00C85D7F" w:rsidRPr="002F0F3D" w:rsidRDefault="0044601E" w:rsidP="00D05BCF">
      <w:pPr>
        <w:spacing w:after="120"/>
      </w:pPr>
      <w:r w:rsidRPr="002F0F3D">
        <w:t>A-level</w:t>
      </w:r>
      <w:r w:rsidR="00D05BCF" w:rsidRPr="002F0F3D">
        <w:t xml:space="preserve"> Further Maths </w:t>
      </w:r>
      <w:r w:rsidRPr="002F0F3D">
        <w:t xml:space="preserve">is taken with A-level Maths; it could be taken </w:t>
      </w:r>
      <w:r w:rsidR="00835F9E" w:rsidRPr="002F0F3D">
        <w:t xml:space="preserve">as </w:t>
      </w:r>
      <w:r w:rsidRPr="002F0F3D">
        <w:t xml:space="preserve">one of the standard three </w:t>
      </w:r>
      <w:r w:rsidR="00835F9E" w:rsidRPr="002F0F3D">
        <w:t xml:space="preserve">A-level </w:t>
      </w:r>
      <w:r w:rsidRPr="002F0F3D">
        <w:t xml:space="preserve">subjects </w:t>
      </w:r>
      <w:r w:rsidR="00835F9E" w:rsidRPr="002F0F3D">
        <w:t>or</w:t>
      </w:r>
      <w:r w:rsidR="001A4B28" w:rsidRPr="002F0F3D">
        <w:t xml:space="preserve"> </w:t>
      </w:r>
      <w:r w:rsidR="00E167A4" w:rsidRPr="002F0F3D">
        <w:t xml:space="preserve">sometimes </w:t>
      </w:r>
      <w:r w:rsidRPr="002F0F3D">
        <w:t>is t</w:t>
      </w:r>
      <w:r w:rsidR="00D05BCF" w:rsidRPr="002F0F3D">
        <w:t>aken as an additional qualification</w:t>
      </w:r>
      <w:r w:rsidRPr="002F0F3D">
        <w:t>. H</w:t>
      </w:r>
      <w:r w:rsidR="00E04498" w:rsidRPr="002F0F3D">
        <w:t xml:space="preserve">istorically </w:t>
      </w:r>
      <w:r w:rsidR="003456F8" w:rsidRPr="002F0F3D">
        <w:t xml:space="preserve">it </w:t>
      </w:r>
      <w:r w:rsidR="00E04498" w:rsidRPr="002F0F3D">
        <w:t xml:space="preserve">has been taken by a relatively small minority of students studying </w:t>
      </w:r>
      <w:r w:rsidRPr="002F0F3D">
        <w:t>A-level</w:t>
      </w:r>
      <w:r w:rsidR="00E04498" w:rsidRPr="002F0F3D">
        <w:t xml:space="preserve"> Maths. </w:t>
      </w:r>
      <w:r w:rsidR="00D05BCF" w:rsidRPr="002F0F3D">
        <w:t>Further Maths students study maths in greater depth by studying further and more challenging mathematical content as well as broadening study by additional study of mathematical applications (</w:t>
      </w:r>
      <w:r w:rsidR="004F1FBD" w:rsidRPr="002F0F3D">
        <w:t>Boylan</w:t>
      </w:r>
      <w:r w:rsidR="00D05BCF" w:rsidRPr="002F0F3D">
        <w:t xml:space="preserve"> et al, 201</w:t>
      </w:r>
      <w:r w:rsidR="004F1FBD" w:rsidRPr="002F0F3D">
        <w:t>6</w:t>
      </w:r>
      <w:r w:rsidR="00D05BCF" w:rsidRPr="002F0F3D">
        <w:t>). Further Mat</w:t>
      </w:r>
      <w:r w:rsidR="00E167A4" w:rsidRPr="002F0F3D">
        <w:t>h</w:t>
      </w:r>
      <w:r w:rsidR="00D05BCF" w:rsidRPr="002F0F3D">
        <w:t>s can also be studied as an AS level</w:t>
      </w:r>
      <w:r w:rsidRPr="002F0F3D">
        <w:t xml:space="preserve"> qualification</w:t>
      </w:r>
      <w:r w:rsidR="00D05BCF" w:rsidRPr="002F0F3D">
        <w:t>. In 2022,</w:t>
      </w:r>
      <w:r w:rsidR="001A4B28" w:rsidRPr="002F0F3D">
        <w:t xml:space="preserve"> there were </w:t>
      </w:r>
      <w:r w:rsidR="00D05BCF" w:rsidRPr="002F0F3D">
        <w:t xml:space="preserve">15,146 students </w:t>
      </w:r>
      <w:r w:rsidR="009554AD" w:rsidRPr="002F0F3D">
        <w:t xml:space="preserve">in the UK </w:t>
      </w:r>
      <w:r w:rsidR="001A4B28" w:rsidRPr="002F0F3D">
        <w:t xml:space="preserve">who </w:t>
      </w:r>
      <w:r w:rsidR="00D05BCF" w:rsidRPr="002F0F3D">
        <w:t xml:space="preserve">sat </w:t>
      </w:r>
      <w:r w:rsidR="001A4B28" w:rsidRPr="002F0F3D">
        <w:t xml:space="preserve">the </w:t>
      </w:r>
      <w:r w:rsidRPr="002F0F3D">
        <w:t>A-level</w:t>
      </w:r>
      <w:r w:rsidR="00D05BCF" w:rsidRPr="002F0F3D">
        <w:t xml:space="preserve"> Further Maths exam, while 95,635</w:t>
      </w:r>
      <w:r w:rsidR="00E04498" w:rsidRPr="002F0F3D">
        <w:t xml:space="preserve"> students</w:t>
      </w:r>
      <w:r w:rsidR="00D05BCF" w:rsidRPr="002F0F3D">
        <w:t xml:space="preserve"> sat </w:t>
      </w:r>
      <w:r w:rsidR="001A4B28" w:rsidRPr="002F0F3D">
        <w:lastRenderedPageBreak/>
        <w:t xml:space="preserve">the </w:t>
      </w:r>
      <w:r w:rsidRPr="002F0F3D">
        <w:t>A-level</w:t>
      </w:r>
      <w:r w:rsidR="00D05BCF" w:rsidRPr="002F0F3D">
        <w:t xml:space="preserve"> Maths exam</w:t>
      </w:r>
      <w:r w:rsidR="00350E4C" w:rsidRPr="002F0F3D">
        <w:t xml:space="preserve"> (JCQ, 2022)</w:t>
      </w:r>
      <w:r w:rsidR="00D05BCF" w:rsidRPr="002F0F3D">
        <w:t xml:space="preserve">. </w:t>
      </w:r>
      <w:r w:rsidR="009554AD" w:rsidRPr="002F0F3D">
        <w:t>From earlier research</w:t>
      </w:r>
      <w:r w:rsidR="008929A6" w:rsidRPr="002F0F3D">
        <w:t xml:space="preserve"> (Noyes, 2013; Noyes &amp; Adkins, 2016</w:t>
      </w:r>
      <w:r w:rsidR="00582390" w:rsidRPr="002F0F3D">
        <w:t>; Boylan et al, 2016</w:t>
      </w:r>
      <w:r w:rsidR="008929A6" w:rsidRPr="002F0F3D">
        <w:t>)</w:t>
      </w:r>
      <w:r w:rsidR="009554AD" w:rsidRPr="002F0F3D">
        <w:t xml:space="preserve">, </w:t>
      </w:r>
      <w:proofErr w:type="gramStart"/>
      <w:r w:rsidR="009554AD" w:rsidRPr="002F0F3D">
        <w:t xml:space="preserve">it is clear that </w:t>
      </w:r>
      <w:r w:rsidR="001A4B28" w:rsidRPr="002F0F3D">
        <w:t>students’</w:t>
      </w:r>
      <w:proofErr w:type="gramEnd"/>
      <w:r w:rsidR="009554AD" w:rsidRPr="002F0F3D">
        <w:t xml:space="preserve"> school/college attended</w:t>
      </w:r>
      <w:r w:rsidR="00582390" w:rsidRPr="002F0F3D">
        <w:t>, gender, ethnicity and social class</w:t>
      </w:r>
      <w:r w:rsidR="009554AD" w:rsidRPr="002F0F3D">
        <w:t xml:space="preserve"> impacts upon participation.</w:t>
      </w:r>
      <w:r w:rsidR="008929A6" w:rsidRPr="002F0F3D">
        <w:t xml:space="preserve"> </w:t>
      </w:r>
      <w:proofErr w:type="spellStart"/>
      <w:r w:rsidR="008929A6" w:rsidRPr="002F0F3D">
        <w:t>Demack</w:t>
      </w:r>
      <w:proofErr w:type="spellEnd"/>
      <w:r w:rsidR="008929A6" w:rsidRPr="002F0F3D">
        <w:t xml:space="preserve"> et al (2019) found that </w:t>
      </w:r>
      <w:r w:rsidR="009662FE" w:rsidRPr="002F0F3D">
        <w:t xml:space="preserve">the pattern of </w:t>
      </w:r>
      <w:r w:rsidRPr="002F0F3D">
        <w:t>A-level</w:t>
      </w:r>
      <w:r w:rsidR="009662FE" w:rsidRPr="002F0F3D">
        <w:t xml:space="preserve"> </w:t>
      </w:r>
      <w:r w:rsidR="00582390" w:rsidRPr="002F0F3D">
        <w:t>M</w:t>
      </w:r>
      <w:r w:rsidR="009662FE" w:rsidRPr="002F0F3D">
        <w:t>aths</w:t>
      </w:r>
      <w:r w:rsidR="007214A9" w:rsidRPr="002F0F3D">
        <w:t xml:space="preserve"> </w:t>
      </w:r>
      <w:r w:rsidR="008929A6" w:rsidRPr="002F0F3D">
        <w:t xml:space="preserve">participation rates </w:t>
      </w:r>
      <w:r w:rsidR="009662FE" w:rsidRPr="002F0F3D">
        <w:t xml:space="preserve">is </w:t>
      </w:r>
      <w:proofErr w:type="gramStart"/>
      <w:r w:rsidR="009662FE" w:rsidRPr="002F0F3D">
        <w:t>similar to</w:t>
      </w:r>
      <w:proofErr w:type="gramEnd"/>
      <w:r w:rsidR="008929A6" w:rsidRPr="002F0F3D">
        <w:t xml:space="preserve"> </w:t>
      </w:r>
      <w:r w:rsidR="002719FD" w:rsidRPr="002F0F3D">
        <w:t xml:space="preserve">that for </w:t>
      </w:r>
      <w:r w:rsidRPr="002F0F3D">
        <w:t>A-level</w:t>
      </w:r>
      <w:r w:rsidR="009662FE" w:rsidRPr="002F0F3D">
        <w:t xml:space="preserve"> generally –</w:t>
      </w:r>
      <w:r w:rsidR="007214A9" w:rsidRPr="002F0F3D">
        <w:t xml:space="preserve"> </w:t>
      </w:r>
      <w:r w:rsidR="002719FD" w:rsidRPr="002F0F3D">
        <w:t xml:space="preserve">for </w:t>
      </w:r>
      <w:r w:rsidR="008929A6" w:rsidRPr="002F0F3D">
        <w:t xml:space="preserve">most </w:t>
      </w:r>
      <w:r w:rsidR="00A97DFB" w:rsidRPr="002F0F3D">
        <w:t>Black and Minority Ethnic (</w:t>
      </w:r>
      <w:r w:rsidR="008929A6" w:rsidRPr="002F0F3D">
        <w:t>BAME</w:t>
      </w:r>
      <w:r w:rsidR="00A97DFB" w:rsidRPr="002F0F3D">
        <w:t>)</w:t>
      </w:r>
      <w:r w:rsidR="008929A6" w:rsidRPr="002F0F3D">
        <w:t xml:space="preserve"> group</w:t>
      </w:r>
      <w:r w:rsidR="00FB2DC4" w:rsidRPr="002F0F3D">
        <w:t>s</w:t>
      </w:r>
      <w:r w:rsidR="008929A6" w:rsidRPr="002F0F3D">
        <w:t xml:space="preserve"> of students (with the exceptions of Black Caribbean and mixed Black Caribbean and White students) </w:t>
      </w:r>
      <w:r w:rsidR="002719FD" w:rsidRPr="002F0F3D">
        <w:t xml:space="preserve">rates </w:t>
      </w:r>
      <w:r w:rsidR="008929A6" w:rsidRPr="002F0F3D">
        <w:t xml:space="preserve">were higher than White British students. </w:t>
      </w:r>
      <w:r w:rsidR="00FB2DC4" w:rsidRPr="002F0F3D">
        <w:t>However, for</w:t>
      </w:r>
      <w:r w:rsidR="008929A6" w:rsidRPr="002F0F3D">
        <w:t xml:space="preserve"> Further Maths, the rates were higher for Chinese, White Other, and Indian compared</w:t>
      </w:r>
      <w:r w:rsidR="007214A9" w:rsidRPr="002F0F3D">
        <w:t xml:space="preserve"> with White British students</w:t>
      </w:r>
      <w:r w:rsidR="00FB2DC4" w:rsidRPr="002F0F3D">
        <w:t xml:space="preserve">, and relatively high participation rates were also observed amongst students from Sri Lankan Tamil or mixed Asian and White ethnic groups. </w:t>
      </w:r>
      <w:r w:rsidR="00582390" w:rsidRPr="002F0F3D">
        <w:t>Students from other</w:t>
      </w:r>
      <w:r w:rsidR="00FB2DC4" w:rsidRPr="002F0F3D">
        <w:t xml:space="preserve"> BAME groups were found to be less likely to take this subject. </w:t>
      </w:r>
      <w:proofErr w:type="spellStart"/>
      <w:r w:rsidR="00DD401E" w:rsidRPr="002F0F3D">
        <w:t>Demack</w:t>
      </w:r>
      <w:proofErr w:type="spellEnd"/>
      <w:r w:rsidR="00DD401E" w:rsidRPr="002F0F3D">
        <w:t xml:space="preserve"> et </w:t>
      </w:r>
      <w:proofErr w:type="spellStart"/>
      <w:r w:rsidR="00DD401E" w:rsidRPr="002F0F3D">
        <w:t>al’s</w:t>
      </w:r>
      <w:proofErr w:type="spellEnd"/>
      <w:r w:rsidR="00DD401E" w:rsidRPr="002F0F3D">
        <w:t xml:space="preserve"> (2019) analyses also found a female disadvantage in terms of participation and attainment in both </w:t>
      </w:r>
      <w:r w:rsidRPr="002F0F3D">
        <w:t>A-level</w:t>
      </w:r>
      <w:r w:rsidR="00DD401E" w:rsidRPr="002F0F3D">
        <w:t xml:space="preserve"> Maths and Further Maths. And after taking K</w:t>
      </w:r>
      <w:r w:rsidR="00582390" w:rsidRPr="002F0F3D">
        <w:t xml:space="preserve">ey </w:t>
      </w:r>
      <w:r w:rsidR="00DD401E" w:rsidRPr="002F0F3D">
        <w:t>S</w:t>
      </w:r>
      <w:r w:rsidR="00582390" w:rsidRPr="002F0F3D">
        <w:t xml:space="preserve">tage </w:t>
      </w:r>
      <w:r w:rsidR="00DD401E" w:rsidRPr="002F0F3D">
        <w:t>4 attainment into account, students at independent/fee paying</w:t>
      </w:r>
      <w:r w:rsidR="004229DE" w:rsidRPr="002F0F3D">
        <w:t xml:space="preserve"> </w:t>
      </w:r>
      <w:r w:rsidR="00DD401E" w:rsidRPr="002F0F3D">
        <w:t>K</w:t>
      </w:r>
      <w:r w:rsidR="00582390" w:rsidRPr="002F0F3D">
        <w:t xml:space="preserve">ey </w:t>
      </w:r>
      <w:r w:rsidR="00DD401E" w:rsidRPr="002F0F3D">
        <w:t>S</w:t>
      </w:r>
      <w:r w:rsidR="00582390" w:rsidRPr="002F0F3D">
        <w:t xml:space="preserve">tage </w:t>
      </w:r>
      <w:r w:rsidR="00DD401E" w:rsidRPr="002F0F3D">
        <w:t xml:space="preserve">5 institutions were around 1.27 times as likely to take </w:t>
      </w:r>
      <w:r w:rsidRPr="002F0F3D">
        <w:t>A-level</w:t>
      </w:r>
      <w:r w:rsidR="00DD401E" w:rsidRPr="002F0F3D">
        <w:t xml:space="preserve"> Further Maths compared with state school/college peers. </w:t>
      </w:r>
      <w:r w:rsidR="005B3BF0" w:rsidRPr="002F0F3D">
        <w:t>Boylan et al (2016) found that schools with</w:t>
      </w:r>
      <w:r w:rsidR="006F31D1" w:rsidRPr="002F0F3D">
        <w:t xml:space="preserve"> higher numbers of Further Maths students</w:t>
      </w:r>
      <w:r w:rsidR="005B3BF0" w:rsidRPr="002F0F3D">
        <w:t xml:space="preserve"> </w:t>
      </w:r>
      <w:r w:rsidR="006F31D1" w:rsidRPr="002F0F3D">
        <w:t xml:space="preserve">tend to have </w:t>
      </w:r>
      <w:r w:rsidR="005B3BF0" w:rsidRPr="002F0F3D">
        <w:t xml:space="preserve">fewer students from socially disadvantaged backgrounds (e.g. students eligible for FSM, students with SEN). </w:t>
      </w:r>
      <w:r w:rsidR="00582390" w:rsidRPr="002F0F3D">
        <w:t>Re</w:t>
      </w:r>
      <w:r w:rsidR="007361C6" w:rsidRPr="002F0F3D">
        <w:t xml:space="preserve">cent research (Boylan et al, 2016; </w:t>
      </w:r>
      <w:proofErr w:type="spellStart"/>
      <w:r w:rsidR="007361C6" w:rsidRPr="002F0F3D">
        <w:t>Hodgen</w:t>
      </w:r>
      <w:proofErr w:type="spellEnd"/>
      <w:r w:rsidR="007361C6" w:rsidRPr="002F0F3D">
        <w:t xml:space="preserve"> et al, 2020) all strongly points to</w:t>
      </w:r>
      <w:r w:rsidR="00582390" w:rsidRPr="002F0F3D">
        <w:t xml:space="preserve"> attainment at Key Stage 4 in Maths and overall is a key determinant to </w:t>
      </w:r>
      <w:r w:rsidR="007361C6" w:rsidRPr="002F0F3D">
        <w:t xml:space="preserve">future </w:t>
      </w:r>
      <w:r w:rsidR="00582390" w:rsidRPr="002F0F3D">
        <w:t xml:space="preserve">participation and attainment in </w:t>
      </w:r>
      <w:r w:rsidRPr="002F0F3D">
        <w:t>A-level</w:t>
      </w:r>
      <w:r w:rsidR="00582390" w:rsidRPr="002F0F3D">
        <w:t xml:space="preserve"> Maths and Further</w:t>
      </w:r>
      <w:r w:rsidR="00835F9E" w:rsidRPr="002F0F3D">
        <w:t xml:space="preserve"> </w:t>
      </w:r>
      <w:r w:rsidR="00582390" w:rsidRPr="002F0F3D">
        <w:t xml:space="preserve">Maths. </w:t>
      </w:r>
      <w:r w:rsidR="00FB1911" w:rsidRPr="002F0F3D">
        <w:t xml:space="preserve">This study aims to gain further understanding of some of the barriers to participation and explore ways to support raising students’ GCSE attainment and facilitate progression to Further Maths </w:t>
      </w:r>
      <w:r w:rsidRPr="002F0F3D">
        <w:t>A-level</w:t>
      </w:r>
      <w:r w:rsidR="00FB1911" w:rsidRPr="002F0F3D">
        <w:t>.</w:t>
      </w:r>
    </w:p>
    <w:p w14:paraId="5C6FE982" w14:textId="0316FC01" w:rsidR="00A73960" w:rsidRPr="00672EF1" w:rsidRDefault="00A73960" w:rsidP="00BA719C">
      <w:pPr>
        <w:pStyle w:val="Heading1"/>
        <w:rPr>
          <w:rFonts w:ascii="Arial" w:hAnsi="Arial" w:cs="Arial"/>
          <w:b/>
          <w:bCs/>
        </w:rPr>
      </w:pPr>
      <w:bookmarkStart w:id="3" w:name="_Toc141256530"/>
      <w:r w:rsidRPr="00672EF1">
        <w:rPr>
          <w:rFonts w:ascii="Arial" w:hAnsi="Arial" w:cs="Arial"/>
          <w:b/>
          <w:bCs/>
        </w:rPr>
        <w:t>Methods</w:t>
      </w:r>
      <w:bookmarkEnd w:id="3"/>
    </w:p>
    <w:p w14:paraId="79E9187A" w14:textId="635C4E4A" w:rsidR="008D2F8B" w:rsidRPr="002F0F3D" w:rsidRDefault="008D2F8B" w:rsidP="008D2F8B">
      <w:pPr>
        <w:spacing w:after="120"/>
      </w:pPr>
      <w:r w:rsidRPr="002F0F3D">
        <w:t xml:space="preserve">The </w:t>
      </w:r>
      <w:proofErr w:type="gramStart"/>
      <w:r w:rsidRPr="002F0F3D">
        <w:t>main focus</w:t>
      </w:r>
      <w:proofErr w:type="gramEnd"/>
      <w:r w:rsidRPr="002F0F3D">
        <w:t xml:space="preserve"> of the study was conducting focus group</w:t>
      </w:r>
      <w:r w:rsidR="00C32B8E" w:rsidRPr="002F0F3D">
        <w:t>s</w:t>
      </w:r>
      <w:r w:rsidRPr="002F0F3D">
        <w:t xml:space="preserve"> with </w:t>
      </w:r>
      <w:r w:rsidR="009C3388" w:rsidRPr="002F0F3D">
        <w:t xml:space="preserve">62 </w:t>
      </w:r>
      <w:r w:rsidR="00D136A0" w:rsidRPr="002F0F3D">
        <w:t xml:space="preserve">Year 10-13 </w:t>
      </w:r>
      <w:r w:rsidRPr="002F0F3D">
        <w:t>students</w:t>
      </w:r>
      <w:r w:rsidR="009C3388" w:rsidRPr="002F0F3D">
        <w:t xml:space="preserve"> from </w:t>
      </w:r>
      <w:r w:rsidR="00D136A0" w:rsidRPr="002F0F3D">
        <w:t xml:space="preserve">22 state schools/colleges </w:t>
      </w:r>
      <w:r w:rsidR="009C3388" w:rsidRPr="002F0F3D">
        <w:t>during Spring and Summer term 2022</w:t>
      </w:r>
      <w:r w:rsidRPr="002F0F3D">
        <w:t xml:space="preserve">. We also spoke to </w:t>
      </w:r>
      <w:r w:rsidR="00FF03EB" w:rsidRPr="002F0F3D">
        <w:t>four</w:t>
      </w:r>
      <w:r w:rsidRPr="002F0F3D">
        <w:t xml:space="preserve"> maths teachers to provide some additional information for our study. </w:t>
      </w:r>
      <w:r w:rsidR="0070483E" w:rsidRPr="002F0F3D">
        <w:t>The study required a more purposeful sampling to get depth and focus to better understand (non)participation in advanced Maths qualifications</w:t>
      </w:r>
      <w:r w:rsidR="00D136A0" w:rsidRPr="002F0F3D">
        <w:t xml:space="preserve"> among students under-represented at Imperial</w:t>
      </w:r>
      <w:r w:rsidR="0070483E" w:rsidRPr="002F0F3D">
        <w:t>. We targeted students who ha</w:t>
      </w:r>
      <w:r w:rsidR="003A16A4" w:rsidRPr="002F0F3D">
        <w:t>d</w:t>
      </w:r>
      <w:r w:rsidR="0070483E" w:rsidRPr="002F0F3D">
        <w:t xml:space="preserve"> expressed interest in STEM or were seen as interested in STEM by gatekeepers, as they are more likely to consider</w:t>
      </w:r>
      <w:r w:rsidR="00792F57" w:rsidRPr="002F0F3D">
        <w:t xml:space="preserve"> studying (or to be </w:t>
      </w:r>
      <w:r w:rsidR="0070483E" w:rsidRPr="002F0F3D">
        <w:t>studying</w:t>
      </w:r>
      <w:r w:rsidR="00792F57" w:rsidRPr="002F0F3D">
        <w:t>)</w:t>
      </w:r>
      <w:r w:rsidR="0070483E" w:rsidRPr="002F0F3D">
        <w:t xml:space="preserve"> advanced Maths qualifications and </w:t>
      </w:r>
      <w:r w:rsidR="00792F57" w:rsidRPr="002F0F3D">
        <w:t xml:space="preserve">to </w:t>
      </w:r>
      <w:proofErr w:type="gramStart"/>
      <w:r w:rsidR="0070483E" w:rsidRPr="002F0F3D">
        <w:t>have aspirations</w:t>
      </w:r>
      <w:proofErr w:type="gramEnd"/>
      <w:r w:rsidR="0070483E" w:rsidRPr="002F0F3D">
        <w:t xml:space="preserve"> to study STEM degrees. We attempted to reach a range of schools and participants from different regions and different context</w:t>
      </w:r>
      <w:r w:rsidR="00792F57" w:rsidRPr="002F0F3D">
        <w:t>s</w:t>
      </w:r>
      <w:r w:rsidR="0070483E" w:rsidRPr="002F0F3D">
        <w:t xml:space="preserve">, especially students from backgrounds under-represented at Imperial. </w:t>
      </w:r>
      <w:r w:rsidR="00AF51E0" w:rsidRPr="002F0F3D">
        <w:t xml:space="preserve">We have also linked data collected with the external data source, the Higher Education Access Tracker (HEAT) database, which provides additional information on participants based on students’ postcodes and schools. </w:t>
      </w:r>
      <w:r w:rsidR="00FB1911" w:rsidRPr="002F0F3D">
        <w:t xml:space="preserve">70% of the students were from the Greater London area, and 82% of the student lived at home postcodes in </w:t>
      </w:r>
      <w:r w:rsidR="00AF51E0" w:rsidRPr="002F0F3D">
        <w:t>high levels of deprivation</w:t>
      </w:r>
      <w:r w:rsidR="00FB1911" w:rsidRPr="002F0F3D">
        <w:t xml:space="preserve">. </w:t>
      </w:r>
      <w:proofErr w:type="gramStart"/>
      <w:r w:rsidR="00CC4544" w:rsidRPr="002F0F3D">
        <w:t>The majority of</w:t>
      </w:r>
      <w:proofErr w:type="gramEnd"/>
      <w:r w:rsidR="00CC4544" w:rsidRPr="002F0F3D">
        <w:t xml:space="preserve"> students were from </w:t>
      </w:r>
      <w:r w:rsidR="00A97DFB" w:rsidRPr="002F0F3D">
        <w:t xml:space="preserve">BAME </w:t>
      </w:r>
      <w:r w:rsidR="00CC4544" w:rsidRPr="002F0F3D">
        <w:t xml:space="preserve">backgrounds. </w:t>
      </w:r>
    </w:p>
    <w:p w14:paraId="632FFE1F" w14:textId="786377B1" w:rsidR="00910B7C" w:rsidRDefault="008D2F8B" w:rsidP="0074074F">
      <w:pPr>
        <w:spacing w:after="120"/>
      </w:pPr>
      <w:r w:rsidRPr="002F0F3D">
        <w:t xml:space="preserve">Ethics approval for the project was gained from </w:t>
      </w:r>
      <w:r w:rsidR="009C3388" w:rsidRPr="002F0F3D">
        <w:t xml:space="preserve">the </w:t>
      </w:r>
      <w:r w:rsidR="00DA6966" w:rsidRPr="002F0F3D">
        <w:t>C</w:t>
      </w:r>
      <w:r w:rsidR="009C3388" w:rsidRPr="002F0F3D">
        <w:t xml:space="preserve">ollege. All participants have been assigned pseudonyms. </w:t>
      </w:r>
      <w:r w:rsidRPr="002F0F3D">
        <w:t>The research team acknowledge limitations to this project. It is possible that participants who view maths positively were more likely to take part, while those who were less engaged did not.</w:t>
      </w:r>
    </w:p>
    <w:p w14:paraId="56F4B6BE" w14:textId="628E0A1A" w:rsidR="0074074F" w:rsidRDefault="0074074F" w:rsidP="009B6FBD">
      <w:pPr>
        <w:pStyle w:val="Heading1"/>
        <w:rPr>
          <w:rFonts w:ascii="Arial" w:hAnsi="Arial" w:cs="Arial"/>
          <w:b/>
          <w:bCs/>
        </w:rPr>
      </w:pPr>
      <w:bookmarkStart w:id="4" w:name="_Toc141256531"/>
      <w:r w:rsidRPr="00672EF1">
        <w:rPr>
          <w:rFonts w:ascii="Arial" w:hAnsi="Arial" w:cs="Arial"/>
          <w:b/>
          <w:bCs/>
        </w:rPr>
        <w:t>Results</w:t>
      </w:r>
      <w:r w:rsidR="00835F9E" w:rsidRPr="00672EF1">
        <w:rPr>
          <w:rFonts w:ascii="Arial" w:hAnsi="Arial" w:cs="Arial"/>
          <w:b/>
          <w:bCs/>
        </w:rPr>
        <w:t xml:space="preserve"> - Understanding Further Maths Uptake and Non-</w:t>
      </w:r>
      <w:proofErr w:type="gramStart"/>
      <w:r w:rsidR="00835F9E" w:rsidRPr="00672EF1">
        <w:rPr>
          <w:rFonts w:ascii="Arial" w:hAnsi="Arial" w:cs="Arial"/>
          <w:b/>
          <w:bCs/>
        </w:rPr>
        <w:t>participation</w:t>
      </w:r>
      <w:bookmarkEnd w:id="4"/>
      <w:proofErr w:type="gramEnd"/>
    </w:p>
    <w:p w14:paraId="75CCC009" w14:textId="4945B32A" w:rsidR="00C755BE" w:rsidRDefault="00835F9E" w:rsidP="00D715A5">
      <w:pPr>
        <w:spacing w:after="120"/>
      </w:pPr>
      <w:r w:rsidRPr="00B017ED">
        <w:t>The findings from the study confirms certain patterns from existing literature and provides further insights on certain issues.</w:t>
      </w:r>
    </w:p>
    <w:p w14:paraId="15F803E0" w14:textId="77777777" w:rsidR="00B17DF7" w:rsidRPr="00672EF1" w:rsidRDefault="00C755BE" w:rsidP="00B17DF7">
      <w:pPr>
        <w:pStyle w:val="Heading2"/>
        <w:rPr>
          <w:rFonts w:ascii="Arial" w:hAnsi="Arial" w:cs="Arial"/>
          <w:sz w:val="28"/>
          <w:szCs w:val="28"/>
        </w:rPr>
      </w:pPr>
      <w:bookmarkStart w:id="5" w:name="_Toc141256532"/>
      <w:r w:rsidRPr="00672EF1">
        <w:rPr>
          <w:rFonts w:ascii="Arial" w:hAnsi="Arial" w:cs="Arial"/>
          <w:sz w:val="28"/>
          <w:szCs w:val="28"/>
        </w:rPr>
        <w:lastRenderedPageBreak/>
        <w:t>Reasons for Choosing Further Maths</w:t>
      </w:r>
      <w:bookmarkEnd w:id="5"/>
    </w:p>
    <w:p w14:paraId="36A42290" w14:textId="2151928A" w:rsidR="00835F9E" w:rsidRPr="00CA3CF6" w:rsidRDefault="00C755BE" w:rsidP="00CA3CF6">
      <w:pPr>
        <w:pStyle w:val="Heading3"/>
        <w:rPr>
          <w:rFonts w:ascii="Arial" w:eastAsiaTheme="minorHAnsi" w:hAnsi="Arial" w:cs="Arial"/>
          <w:b/>
          <w:bCs/>
          <w:color w:val="auto"/>
        </w:rPr>
      </w:pPr>
      <w:bookmarkStart w:id="6" w:name="_Toc141256533"/>
      <w:r w:rsidRPr="00CA3CF6">
        <w:rPr>
          <w:rFonts w:ascii="Arial" w:eastAsiaTheme="minorHAnsi" w:hAnsi="Arial" w:cs="Arial"/>
          <w:b/>
          <w:bCs/>
          <w:color w:val="auto"/>
        </w:rPr>
        <w:t>A re</w:t>
      </w:r>
      <w:r w:rsidR="00CB083A" w:rsidRPr="00CA3CF6">
        <w:rPr>
          <w:rFonts w:ascii="Arial" w:eastAsiaTheme="minorHAnsi" w:hAnsi="Arial" w:cs="Arial"/>
          <w:b/>
          <w:bCs/>
          <w:color w:val="auto"/>
        </w:rPr>
        <w:t>quirement o</w:t>
      </w:r>
      <w:r w:rsidR="00EC6A92" w:rsidRPr="00CA3CF6">
        <w:rPr>
          <w:rFonts w:ascii="Arial" w:eastAsiaTheme="minorHAnsi" w:hAnsi="Arial" w:cs="Arial"/>
          <w:b/>
          <w:bCs/>
          <w:color w:val="auto"/>
        </w:rPr>
        <w:t>r</w:t>
      </w:r>
      <w:r w:rsidR="00CB083A" w:rsidRPr="00CA3CF6">
        <w:rPr>
          <w:rFonts w:ascii="Arial" w:eastAsiaTheme="minorHAnsi" w:hAnsi="Arial" w:cs="Arial"/>
          <w:b/>
          <w:bCs/>
          <w:color w:val="auto"/>
        </w:rPr>
        <w:t xml:space="preserve"> preferred choice for their university course.</w:t>
      </w:r>
      <w:bookmarkEnd w:id="6"/>
      <w:r w:rsidR="00835F9E" w:rsidRPr="00CA3CF6">
        <w:rPr>
          <w:rFonts w:ascii="Arial" w:eastAsiaTheme="minorHAnsi" w:hAnsi="Arial" w:cs="Arial"/>
          <w:b/>
          <w:bCs/>
          <w:color w:val="auto"/>
        </w:rPr>
        <w:t xml:space="preserve"> </w:t>
      </w:r>
    </w:p>
    <w:p w14:paraId="7EBB8C16" w14:textId="1C23DDBD" w:rsidR="00135FD1" w:rsidRPr="00B017ED" w:rsidRDefault="00135FD1" w:rsidP="00393351">
      <w:pPr>
        <w:spacing w:after="120"/>
        <w:rPr>
          <w:color w:val="833C0B" w:themeColor="accent2" w:themeShade="80"/>
        </w:rPr>
      </w:pPr>
      <w:r w:rsidRPr="00814BC1">
        <w:t>Among the Further Maths students, many described that Furt</w:t>
      </w:r>
      <w:r w:rsidRPr="00273A90">
        <w:t xml:space="preserve">her Maths is </w:t>
      </w:r>
      <w:r w:rsidRPr="00B017ED">
        <w:rPr>
          <w:color w:val="002147"/>
        </w:rPr>
        <w:t xml:space="preserve">a requirement or a preferred subject for their </w:t>
      </w:r>
      <w:r w:rsidR="00BE58A7" w:rsidRPr="00B017ED">
        <w:rPr>
          <w:color w:val="002147"/>
        </w:rPr>
        <w:t>chosen degree</w:t>
      </w:r>
      <w:r w:rsidRPr="00B017ED">
        <w:rPr>
          <w:color w:val="002147"/>
        </w:rPr>
        <w:t xml:space="preserve"> courses</w:t>
      </w:r>
      <w:r w:rsidR="00BE58A7" w:rsidRPr="00B017ED">
        <w:rPr>
          <w:color w:val="002147"/>
        </w:rPr>
        <w:t>, particularly at highly selective universities</w:t>
      </w:r>
      <w:r w:rsidRPr="00B017ED">
        <w:rPr>
          <w:color w:val="002147"/>
        </w:rPr>
        <w:t>.</w:t>
      </w:r>
    </w:p>
    <w:p w14:paraId="5B255CD4" w14:textId="037284E1" w:rsidR="0074074F" w:rsidRDefault="0074074F" w:rsidP="00393351">
      <w:pPr>
        <w:spacing w:after="120"/>
        <w:rPr>
          <w:b/>
          <w:bCs/>
          <w:color w:val="0070C0"/>
        </w:rPr>
      </w:pPr>
      <w:r w:rsidRPr="00FE77DF">
        <w:rPr>
          <w:color w:val="0070C0"/>
        </w:rPr>
        <w:t>“</w:t>
      </w:r>
      <w:r w:rsidR="00135FD1" w:rsidRPr="00FE77DF">
        <w:rPr>
          <w:color w:val="0070C0"/>
        </w:rPr>
        <w:t xml:space="preserve">When I was checking universities, their requirements for Computer Science, normally they say Further Maths is an extra thing that you can do, but I know from experience that everyone is going to do the extra if they want to go to university. Imperial ask you to do Further Maths, UCL ask you to do Further Maths, Cambridge ask you to do Further Maths, so if you don’t do </w:t>
      </w:r>
      <w:proofErr w:type="gramStart"/>
      <w:r w:rsidR="00135FD1" w:rsidRPr="00FE77DF">
        <w:rPr>
          <w:color w:val="0070C0"/>
        </w:rPr>
        <w:t>it</w:t>
      </w:r>
      <w:proofErr w:type="gramEnd"/>
      <w:r w:rsidR="00135FD1" w:rsidRPr="00FE77DF">
        <w:rPr>
          <w:color w:val="0070C0"/>
        </w:rPr>
        <w:t xml:space="preserve"> you’re going to be behind everyone else</w:t>
      </w:r>
      <w:r w:rsidRPr="00FE77DF">
        <w:rPr>
          <w:color w:val="0070C0"/>
        </w:rPr>
        <w:t xml:space="preserve">.” </w:t>
      </w:r>
      <w:r w:rsidR="00135FD1" w:rsidRPr="00FE77DF">
        <w:rPr>
          <w:b/>
          <w:bCs/>
          <w:color w:val="0070C0"/>
        </w:rPr>
        <w:t>Ade</w:t>
      </w:r>
      <w:r w:rsidRPr="00FE77DF">
        <w:rPr>
          <w:b/>
          <w:bCs/>
          <w:color w:val="0070C0"/>
        </w:rPr>
        <w:t xml:space="preserve"> (Year 1</w:t>
      </w:r>
      <w:r w:rsidR="00135FD1" w:rsidRPr="00FE77DF">
        <w:rPr>
          <w:b/>
          <w:bCs/>
          <w:color w:val="0070C0"/>
        </w:rPr>
        <w:t>2</w:t>
      </w:r>
      <w:r w:rsidRPr="00FE77DF">
        <w:rPr>
          <w:b/>
          <w:bCs/>
          <w:color w:val="0070C0"/>
        </w:rPr>
        <w:t>)</w:t>
      </w:r>
    </w:p>
    <w:p w14:paraId="521FD4DC" w14:textId="03C14F7F" w:rsidR="003D4324" w:rsidRPr="003275BE" w:rsidRDefault="003D4324" w:rsidP="003275BE">
      <w:pPr>
        <w:pStyle w:val="Heading3"/>
        <w:rPr>
          <w:rFonts w:ascii="Arial" w:eastAsiaTheme="minorHAnsi" w:hAnsi="Arial" w:cs="Arial"/>
          <w:b/>
          <w:bCs/>
        </w:rPr>
      </w:pPr>
      <w:bookmarkStart w:id="7" w:name="_Toc141256534"/>
      <w:r w:rsidRPr="003275BE">
        <w:rPr>
          <w:rFonts w:ascii="Arial" w:eastAsiaTheme="minorHAnsi" w:hAnsi="Arial" w:cs="Arial"/>
          <w:b/>
          <w:bCs/>
        </w:rPr>
        <w:t>Benefits to their Maths A-level and/or future study.</w:t>
      </w:r>
      <w:bookmarkEnd w:id="7"/>
      <w:r w:rsidRPr="003275BE">
        <w:rPr>
          <w:rFonts w:ascii="Arial" w:eastAsiaTheme="minorHAnsi" w:hAnsi="Arial" w:cs="Arial"/>
          <w:b/>
          <w:bCs/>
        </w:rPr>
        <w:t xml:space="preserve"> </w:t>
      </w:r>
    </w:p>
    <w:p w14:paraId="331415F0" w14:textId="245A15B2" w:rsidR="00135FD1" w:rsidRPr="00FE77DF" w:rsidRDefault="005E3AE8" w:rsidP="00393351">
      <w:pPr>
        <w:spacing w:after="120"/>
      </w:pPr>
      <w:r w:rsidRPr="00FE77DF">
        <w:t>Some students also described that studying Further Maths would be helpful to their Maths A-level and/or their chosen university course, whether it was a requirement or not.</w:t>
      </w:r>
    </w:p>
    <w:p w14:paraId="500796E7" w14:textId="74B4D176" w:rsidR="00135FD1" w:rsidRPr="00FE77DF" w:rsidRDefault="00DC5BA1" w:rsidP="00393351">
      <w:pPr>
        <w:spacing w:after="120"/>
        <w:rPr>
          <w:b/>
          <w:bCs/>
          <w:color w:val="0070C0"/>
        </w:rPr>
      </w:pPr>
      <w:r w:rsidRPr="00FE77DF">
        <w:rPr>
          <w:color w:val="0070C0"/>
        </w:rPr>
        <w:t xml:space="preserve">“I knew I wanted to do Engineering at university, and I know it’s very Maths-heavy. So, I thought, it wasn’t required for any of the unis I was looking at. But I thought, if I was studying that, I would be </w:t>
      </w:r>
      <w:proofErr w:type="gramStart"/>
      <w:r w:rsidRPr="00FE77DF">
        <w:rPr>
          <w:color w:val="0070C0"/>
        </w:rPr>
        <w:t>really good</w:t>
      </w:r>
      <w:proofErr w:type="gramEnd"/>
      <w:r w:rsidRPr="00FE77DF">
        <w:rPr>
          <w:color w:val="0070C0"/>
        </w:rPr>
        <w:t xml:space="preserve"> at the normal Maths which is required. And if when I get there, even if I don’t get an A*, the stuff I’ve learnt for that will be helpful in the actual </w:t>
      </w:r>
      <w:proofErr w:type="spellStart"/>
      <w:r w:rsidRPr="00FE77DF">
        <w:rPr>
          <w:color w:val="0070C0"/>
        </w:rPr>
        <w:t>uni</w:t>
      </w:r>
      <w:proofErr w:type="spellEnd"/>
      <w:r w:rsidRPr="00FE77DF">
        <w:rPr>
          <w:color w:val="0070C0"/>
        </w:rPr>
        <w:t xml:space="preserve"> course itself.” </w:t>
      </w:r>
      <w:r w:rsidRPr="00FE77DF">
        <w:rPr>
          <w:b/>
          <w:bCs/>
          <w:color w:val="0070C0"/>
        </w:rPr>
        <w:t>Tim (Year 13)</w:t>
      </w:r>
    </w:p>
    <w:p w14:paraId="481A08C6" w14:textId="77777777" w:rsidR="00C62F75" w:rsidRPr="00FE77DF" w:rsidRDefault="00C62F75" w:rsidP="00393351">
      <w:pPr>
        <w:spacing w:after="120"/>
        <w:rPr>
          <w:b/>
          <w:bCs/>
        </w:rPr>
      </w:pPr>
    </w:p>
    <w:p w14:paraId="57D47F12" w14:textId="2F6C7ADB" w:rsidR="00BE58A7" w:rsidRPr="003275BE" w:rsidRDefault="00B60E03" w:rsidP="003275BE">
      <w:pPr>
        <w:pStyle w:val="Heading3"/>
        <w:rPr>
          <w:rFonts w:ascii="Arial" w:eastAsiaTheme="minorHAnsi" w:hAnsi="Arial" w:cs="Arial"/>
          <w:b/>
          <w:bCs/>
        </w:rPr>
      </w:pPr>
      <w:bookmarkStart w:id="8" w:name="_Toc141256535"/>
      <w:r w:rsidRPr="003275BE">
        <w:rPr>
          <w:rFonts w:ascii="Arial" w:eastAsiaTheme="minorHAnsi" w:hAnsi="Arial" w:cs="Arial"/>
          <w:b/>
          <w:bCs/>
        </w:rPr>
        <w:t>Appreciation of maths</w:t>
      </w:r>
      <w:bookmarkEnd w:id="8"/>
    </w:p>
    <w:p w14:paraId="4940186A" w14:textId="3E6EF7D1" w:rsidR="00DC5BA1" w:rsidRPr="00FE77DF" w:rsidRDefault="005E3AE8" w:rsidP="00393351">
      <w:pPr>
        <w:spacing w:after="120"/>
      </w:pPr>
      <w:r w:rsidRPr="00FE77DF">
        <w:t xml:space="preserve">Some students </w:t>
      </w:r>
      <w:r w:rsidR="00AC724D" w:rsidRPr="00FE77DF">
        <w:t xml:space="preserve">spoke about the </w:t>
      </w:r>
      <w:r w:rsidRPr="00FE77DF">
        <w:t>enjoy</w:t>
      </w:r>
      <w:r w:rsidR="00AC724D" w:rsidRPr="00FE77DF">
        <w:t xml:space="preserve">ment they got from doing </w:t>
      </w:r>
      <w:r w:rsidR="004E5E4C" w:rsidRPr="00FE77DF">
        <w:t>complex maths</w:t>
      </w:r>
      <w:r w:rsidRPr="00FE77DF">
        <w:t>.</w:t>
      </w:r>
    </w:p>
    <w:p w14:paraId="6FD4A39C" w14:textId="56FD35B9" w:rsidR="001E0124" w:rsidRPr="00FE77DF" w:rsidRDefault="00FF52A9" w:rsidP="00393351">
      <w:pPr>
        <w:spacing w:after="120"/>
        <w:rPr>
          <w:b/>
          <w:bCs/>
          <w:color w:val="0070C0"/>
        </w:rPr>
      </w:pPr>
      <w:r w:rsidRPr="00FE77DF">
        <w:rPr>
          <w:color w:val="0070C0"/>
        </w:rPr>
        <w:t xml:space="preserve">“I think it’s quite satisfying when you are given a challenging problem or a challenging question, regardless of whether </w:t>
      </w:r>
      <w:r w:rsidR="003B1072" w:rsidRPr="00FE77DF">
        <w:rPr>
          <w:color w:val="0070C0"/>
        </w:rPr>
        <w:t>it’s</w:t>
      </w:r>
      <w:r w:rsidRPr="00FE77DF">
        <w:rPr>
          <w:color w:val="0070C0"/>
        </w:rPr>
        <w:t xml:space="preserve"> Pure, Stats or Mechanics. Obviously, people have their preferences, but I think the whole concept is that if you do something hard, and you get it right, it’s quite satisfying. So, I enjoy that.”</w:t>
      </w:r>
      <w:r w:rsidR="00BE58A7" w:rsidRPr="00FE77DF">
        <w:rPr>
          <w:color w:val="0070C0"/>
        </w:rPr>
        <w:t xml:space="preserve"> </w:t>
      </w:r>
      <w:r w:rsidRPr="00FE77DF">
        <w:rPr>
          <w:b/>
          <w:bCs/>
          <w:color w:val="0070C0"/>
        </w:rPr>
        <w:t>Kamal (Year 12)</w:t>
      </w:r>
    </w:p>
    <w:p w14:paraId="4D1A5778" w14:textId="77777777" w:rsidR="00DB0B25" w:rsidRDefault="00DB0B25" w:rsidP="00393351">
      <w:pPr>
        <w:spacing w:after="120"/>
        <w:rPr>
          <w:b/>
          <w:bCs/>
        </w:rPr>
      </w:pPr>
    </w:p>
    <w:p w14:paraId="3761E9DD" w14:textId="667FE891" w:rsidR="00DB0B25" w:rsidRPr="00672EF1" w:rsidRDefault="00DB0B25" w:rsidP="00DB0B25">
      <w:pPr>
        <w:pStyle w:val="Heading2"/>
        <w:rPr>
          <w:rFonts w:ascii="Arial" w:hAnsi="Arial" w:cs="Arial"/>
          <w:sz w:val="28"/>
          <w:szCs w:val="28"/>
        </w:rPr>
      </w:pPr>
      <w:bookmarkStart w:id="9" w:name="_Toc141256536"/>
      <w:r w:rsidRPr="00672EF1">
        <w:rPr>
          <w:rFonts w:ascii="Arial" w:hAnsi="Arial" w:cs="Arial"/>
          <w:sz w:val="28"/>
          <w:szCs w:val="28"/>
        </w:rPr>
        <w:t>Reasons for Not Choosing Further Maths</w:t>
      </w:r>
      <w:bookmarkEnd w:id="9"/>
      <w:r w:rsidRPr="00672EF1">
        <w:rPr>
          <w:rFonts w:ascii="Arial" w:hAnsi="Arial" w:cs="Arial"/>
          <w:sz w:val="28"/>
          <w:szCs w:val="28"/>
        </w:rPr>
        <w:t xml:space="preserve"> </w:t>
      </w:r>
    </w:p>
    <w:p w14:paraId="491744CE" w14:textId="33E87458" w:rsidR="001E0124" w:rsidRPr="003275BE" w:rsidRDefault="04BB4927" w:rsidP="6379EAC4">
      <w:pPr>
        <w:pStyle w:val="Heading3"/>
        <w:rPr>
          <w:rFonts w:ascii="Arial" w:hAnsi="Arial" w:cs="Arial"/>
          <w:b/>
          <w:bCs/>
        </w:rPr>
      </w:pPr>
      <w:bookmarkStart w:id="10" w:name="_Toc141256537"/>
      <w:r w:rsidRPr="6379EAC4">
        <w:rPr>
          <w:rFonts w:ascii="Arial" w:hAnsi="Arial" w:cs="Arial"/>
          <w:b/>
          <w:bCs/>
        </w:rPr>
        <w:t>Not meeting the course requirement</w:t>
      </w:r>
      <w:r w:rsidR="6253AC75" w:rsidRPr="6379EAC4">
        <w:rPr>
          <w:rFonts w:ascii="Arial" w:hAnsi="Arial" w:cs="Arial"/>
          <w:b/>
          <w:bCs/>
        </w:rPr>
        <w:t>;</w:t>
      </w:r>
      <w:r w:rsidRPr="6379EAC4">
        <w:rPr>
          <w:rFonts w:ascii="Arial" w:hAnsi="Arial" w:cs="Arial"/>
          <w:b/>
          <w:bCs/>
        </w:rPr>
        <w:t xml:space="preserve"> </w:t>
      </w:r>
      <w:r w:rsidR="3C3E24E0" w:rsidRPr="6379EAC4">
        <w:rPr>
          <w:rFonts w:ascii="Arial" w:hAnsi="Arial" w:cs="Arial"/>
          <w:b/>
          <w:bCs/>
        </w:rPr>
        <w:t>c</w:t>
      </w:r>
      <w:r w:rsidRPr="6379EAC4">
        <w:rPr>
          <w:rFonts w:ascii="Arial" w:hAnsi="Arial" w:cs="Arial"/>
          <w:b/>
          <w:bCs/>
        </w:rPr>
        <w:t>ourse unavailability</w:t>
      </w:r>
      <w:r w:rsidR="5E8BFB50" w:rsidRPr="6379EAC4">
        <w:rPr>
          <w:rFonts w:ascii="Arial" w:hAnsi="Arial" w:cs="Arial"/>
          <w:b/>
          <w:bCs/>
        </w:rPr>
        <w:t>;</w:t>
      </w:r>
      <w:r w:rsidR="6742CC0B" w:rsidRPr="6379EAC4">
        <w:rPr>
          <w:rFonts w:ascii="Arial" w:hAnsi="Arial" w:cs="Arial"/>
          <w:b/>
          <w:bCs/>
        </w:rPr>
        <w:t xml:space="preserve"> competing demands or wanting more options.</w:t>
      </w:r>
      <w:bookmarkEnd w:id="10"/>
    </w:p>
    <w:p w14:paraId="1DA0507A" w14:textId="4B02E4FB" w:rsidR="004E5E4C" w:rsidRPr="00FE77DF" w:rsidRDefault="00BE58A7" w:rsidP="00393351">
      <w:pPr>
        <w:spacing w:after="120"/>
      </w:pPr>
      <w:r w:rsidRPr="00FE77DF">
        <w:t xml:space="preserve">There were a range of reasons why some students did not study Further Maths A-level. Some students did not meet the course requirement at their school/college, and some students were at institutions where Further Maths was not an option. </w:t>
      </w:r>
      <w:r w:rsidR="004E5E4C" w:rsidRPr="00FE77DF">
        <w:t>Some eligible students chose to prioritise other demands or prefer</w:t>
      </w:r>
      <w:r w:rsidR="00A47AFC" w:rsidRPr="00FE77DF">
        <w:t>red</w:t>
      </w:r>
      <w:r w:rsidR="004E5E4C" w:rsidRPr="00FE77DF">
        <w:t xml:space="preserve"> to explore more/other subjects.</w:t>
      </w:r>
    </w:p>
    <w:p w14:paraId="0A62B5E9" w14:textId="4F1CC8B4" w:rsidR="0074074F" w:rsidRPr="00FE77DF" w:rsidRDefault="0074074F" w:rsidP="00393351">
      <w:pPr>
        <w:spacing w:after="120"/>
        <w:rPr>
          <w:b/>
          <w:bCs/>
          <w:color w:val="0070C0"/>
        </w:rPr>
      </w:pPr>
      <w:r w:rsidRPr="00FE77DF">
        <w:rPr>
          <w:color w:val="0070C0"/>
        </w:rPr>
        <w:t>“</w:t>
      </w:r>
      <w:r w:rsidR="009D2E9A" w:rsidRPr="00FE77DF">
        <w:rPr>
          <w:color w:val="0070C0"/>
        </w:rPr>
        <w:t xml:space="preserve">I chose not to do further maths because I felt like I was dedicating, not that I didn’t like maths, I just realised I didn’t like maths as much as I liked science. I felt it was too </w:t>
      </w:r>
      <w:proofErr w:type="gramStart"/>
      <w:r w:rsidR="009D2E9A" w:rsidRPr="00FE77DF">
        <w:rPr>
          <w:color w:val="0070C0"/>
        </w:rPr>
        <w:t>much</w:t>
      </w:r>
      <w:proofErr w:type="gramEnd"/>
      <w:r w:rsidR="009D2E9A" w:rsidRPr="00FE77DF">
        <w:rPr>
          <w:color w:val="0070C0"/>
        </w:rPr>
        <w:t xml:space="preserve"> calculations and I wanted to apply my knowledge more. I mean, I don’t know how it is in </w:t>
      </w:r>
      <w:r w:rsidR="00D658E4" w:rsidRPr="00FE77DF">
        <w:rPr>
          <w:color w:val="0070C0"/>
        </w:rPr>
        <w:t>F</w:t>
      </w:r>
      <w:r w:rsidR="009D2E9A" w:rsidRPr="00FE77DF">
        <w:rPr>
          <w:color w:val="0070C0"/>
        </w:rPr>
        <w:t xml:space="preserve">urther </w:t>
      </w:r>
      <w:r w:rsidR="00D658E4" w:rsidRPr="00FE77DF">
        <w:rPr>
          <w:color w:val="0070C0"/>
        </w:rPr>
        <w:t>M</w:t>
      </w:r>
      <w:r w:rsidR="009D2E9A" w:rsidRPr="00FE77DF">
        <w:rPr>
          <w:color w:val="0070C0"/>
        </w:rPr>
        <w:t xml:space="preserve">aths, but I wanted to spread out my options a bit more. I feel like if I did </w:t>
      </w:r>
      <w:r w:rsidR="00D658E4" w:rsidRPr="00FE77DF">
        <w:rPr>
          <w:color w:val="0070C0"/>
        </w:rPr>
        <w:t>F</w:t>
      </w:r>
      <w:r w:rsidR="009D2E9A" w:rsidRPr="00FE77DF">
        <w:rPr>
          <w:color w:val="0070C0"/>
        </w:rPr>
        <w:t xml:space="preserve">urther </w:t>
      </w:r>
      <w:r w:rsidR="00D658E4" w:rsidRPr="00FE77DF">
        <w:rPr>
          <w:color w:val="0070C0"/>
        </w:rPr>
        <w:t>M</w:t>
      </w:r>
      <w:r w:rsidR="009D2E9A" w:rsidRPr="00FE77DF">
        <w:rPr>
          <w:color w:val="0070C0"/>
        </w:rPr>
        <w:t>aths and I didn’t like it, I wouldn’t be able to experience other subjects</w:t>
      </w:r>
      <w:r w:rsidRPr="00FE77DF">
        <w:rPr>
          <w:color w:val="0070C0"/>
        </w:rPr>
        <w:t xml:space="preserve">.” </w:t>
      </w:r>
      <w:r w:rsidR="009D2E9A" w:rsidRPr="00FE77DF">
        <w:rPr>
          <w:b/>
          <w:bCs/>
          <w:color w:val="0070C0"/>
        </w:rPr>
        <w:t>Joanna</w:t>
      </w:r>
      <w:r w:rsidRPr="00FE77DF">
        <w:rPr>
          <w:b/>
          <w:bCs/>
          <w:color w:val="0070C0"/>
        </w:rPr>
        <w:t xml:space="preserve"> (Year 12)</w:t>
      </w:r>
    </w:p>
    <w:p w14:paraId="4140529F" w14:textId="77777777" w:rsidR="00BE58A7" w:rsidRPr="00FE77DF" w:rsidRDefault="00BE58A7" w:rsidP="00393351">
      <w:pPr>
        <w:spacing w:after="120"/>
        <w:rPr>
          <w:b/>
          <w:bCs/>
          <w:color w:val="0091D4"/>
        </w:rPr>
      </w:pPr>
    </w:p>
    <w:p w14:paraId="0352ECA2" w14:textId="6C4B75D7" w:rsidR="008811D3" w:rsidRPr="003275BE" w:rsidRDefault="008811D3" w:rsidP="003275BE">
      <w:pPr>
        <w:pStyle w:val="Heading3"/>
        <w:rPr>
          <w:rFonts w:ascii="Arial" w:hAnsi="Arial" w:cs="Arial"/>
          <w:b/>
          <w:bCs/>
        </w:rPr>
      </w:pPr>
      <w:bookmarkStart w:id="11" w:name="_Toc141256538"/>
      <w:r w:rsidRPr="003275BE">
        <w:rPr>
          <w:rFonts w:ascii="Arial" w:hAnsi="Arial" w:cs="Arial"/>
          <w:b/>
          <w:bCs/>
        </w:rPr>
        <w:t>Negative perception and reputation of Further Maths</w:t>
      </w:r>
      <w:bookmarkEnd w:id="11"/>
    </w:p>
    <w:p w14:paraId="67CDD430" w14:textId="0199C623" w:rsidR="004E5E4C" w:rsidRPr="00FE77DF" w:rsidRDefault="004E5E4C" w:rsidP="00393351">
      <w:pPr>
        <w:spacing w:after="120"/>
      </w:pPr>
      <w:r w:rsidRPr="00FE77DF">
        <w:t xml:space="preserve">Further Maths </w:t>
      </w:r>
      <w:r w:rsidR="005A671C" w:rsidRPr="00FE77DF">
        <w:t>wa</w:t>
      </w:r>
      <w:r w:rsidRPr="00FE77DF">
        <w:t>s being seen as too challenging and out of reach for some students.</w:t>
      </w:r>
    </w:p>
    <w:p w14:paraId="02C4583E" w14:textId="3B737F77" w:rsidR="0074074F" w:rsidRPr="00FE77DF" w:rsidRDefault="009D2E9A" w:rsidP="00393351">
      <w:pPr>
        <w:spacing w:after="120"/>
        <w:rPr>
          <w:b/>
          <w:bCs/>
          <w:color w:val="0070C0"/>
        </w:rPr>
      </w:pPr>
      <w:r w:rsidRPr="00FE77DF">
        <w:rPr>
          <w:color w:val="0070C0"/>
        </w:rPr>
        <w:t>“</w:t>
      </w:r>
      <w:r w:rsidR="0010295D" w:rsidRPr="00FE77DF">
        <w:rPr>
          <w:color w:val="0070C0"/>
        </w:rPr>
        <w:t xml:space="preserve">No, I never thought about doing it. Honestly, I kind of thought it was in the name, </w:t>
      </w:r>
      <w:r w:rsidR="00D658E4" w:rsidRPr="00FE77DF">
        <w:rPr>
          <w:color w:val="0070C0"/>
        </w:rPr>
        <w:t>F</w:t>
      </w:r>
      <w:r w:rsidR="0010295D" w:rsidRPr="00FE77DF">
        <w:rPr>
          <w:color w:val="0070C0"/>
        </w:rPr>
        <w:t xml:space="preserve">urther </w:t>
      </w:r>
      <w:r w:rsidR="00D658E4" w:rsidRPr="00FE77DF">
        <w:rPr>
          <w:color w:val="0070C0"/>
        </w:rPr>
        <w:t>M</w:t>
      </w:r>
      <w:r w:rsidR="0010295D" w:rsidRPr="00FE77DF">
        <w:rPr>
          <w:color w:val="0070C0"/>
        </w:rPr>
        <w:t xml:space="preserve">aths, I don’t know, it was too much for me. And I felt like a lot of the people that do it, I’m not as motivated as them. And I feel like they’re, I don’t know, because I got an Eight as well, </w:t>
      </w:r>
      <w:r w:rsidR="0010295D" w:rsidRPr="00FE77DF">
        <w:rPr>
          <w:color w:val="0070C0"/>
        </w:rPr>
        <w:lastRenderedPageBreak/>
        <w:t xml:space="preserve">so I was like, I feel like loads of people who do </w:t>
      </w:r>
      <w:r w:rsidR="00D658E4" w:rsidRPr="00FE77DF">
        <w:rPr>
          <w:color w:val="0070C0"/>
        </w:rPr>
        <w:t>F</w:t>
      </w:r>
      <w:r w:rsidR="0010295D" w:rsidRPr="00FE77DF">
        <w:rPr>
          <w:color w:val="0070C0"/>
        </w:rPr>
        <w:t xml:space="preserve">urther </w:t>
      </w:r>
      <w:r w:rsidR="00D658E4" w:rsidRPr="00FE77DF">
        <w:rPr>
          <w:color w:val="0070C0"/>
        </w:rPr>
        <w:t>M</w:t>
      </w:r>
      <w:r w:rsidR="0010295D" w:rsidRPr="00FE77DF">
        <w:rPr>
          <w:color w:val="0070C0"/>
        </w:rPr>
        <w:t>aths only get 9s, so I was like, it’s kind of out of the picture for me as well</w:t>
      </w:r>
      <w:r w:rsidRPr="00FE77DF">
        <w:rPr>
          <w:color w:val="0070C0"/>
        </w:rPr>
        <w:t xml:space="preserve">.” </w:t>
      </w:r>
      <w:proofErr w:type="spellStart"/>
      <w:r w:rsidR="0010295D" w:rsidRPr="00FE77DF">
        <w:rPr>
          <w:b/>
          <w:bCs/>
          <w:color w:val="0070C0"/>
        </w:rPr>
        <w:t>Melis</w:t>
      </w:r>
      <w:proofErr w:type="spellEnd"/>
      <w:r w:rsidRPr="00FE77DF">
        <w:rPr>
          <w:b/>
          <w:bCs/>
          <w:color w:val="0070C0"/>
        </w:rPr>
        <w:t xml:space="preserve"> (Year 12)</w:t>
      </w:r>
    </w:p>
    <w:p w14:paraId="45B3D5DD" w14:textId="77777777" w:rsidR="003B1072" w:rsidRPr="00FE77DF" w:rsidRDefault="003B1072" w:rsidP="00393351">
      <w:pPr>
        <w:spacing w:after="120"/>
      </w:pPr>
    </w:p>
    <w:p w14:paraId="69E6DFD8" w14:textId="77777777" w:rsidR="00B50447" w:rsidRPr="00BA29C3" w:rsidRDefault="00B50447" w:rsidP="00B50447">
      <w:pPr>
        <w:pStyle w:val="Heading3"/>
        <w:rPr>
          <w:rFonts w:ascii="Arial" w:hAnsi="Arial" w:cs="Arial"/>
          <w:b/>
          <w:bCs/>
        </w:rPr>
      </w:pPr>
      <w:bookmarkStart w:id="12" w:name="_Toc141256539"/>
      <w:r w:rsidRPr="00BA29C3">
        <w:rPr>
          <w:rFonts w:ascii="Arial" w:hAnsi="Arial" w:cs="Arial"/>
          <w:b/>
          <w:bCs/>
        </w:rPr>
        <w:t>Workload</w:t>
      </w:r>
      <w:bookmarkEnd w:id="12"/>
    </w:p>
    <w:p w14:paraId="69CCD902" w14:textId="3A83B5EC" w:rsidR="005A671C" w:rsidRPr="00FE77DF" w:rsidRDefault="005A671C" w:rsidP="00393351">
      <w:pPr>
        <w:spacing w:after="120"/>
      </w:pPr>
      <w:r w:rsidRPr="00FE77DF">
        <w:t xml:space="preserve">Some students were concerned about the heavy workload and pressure to perform well. </w:t>
      </w:r>
    </w:p>
    <w:p w14:paraId="210803C8" w14:textId="11AEEF5D" w:rsidR="0074074F" w:rsidRDefault="0010295D" w:rsidP="00393351">
      <w:pPr>
        <w:spacing w:after="120"/>
        <w:rPr>
          <w:b/>
          <w:bCs/>
          <w:color w:val="0070C0"/>
        </w:rPr>
      </w:pPr>
      <w:r w:rsidRPr="00FE77DF">
        <w:rPr>
          <w:color w:val="0070C0"/>
        </w:rPr>
        <w:t xml:space="preserve">“I would </w:t>
      </w:r>
      <w:proofErr w:type="gramStart"/>
      <w:r w:rsidRPr="00FE77DF">
        <w:rPr>
          <w:color w:val="0070C0"/>
        </w:rPr>
        <w:t>actually be</w:t>
      </w:r>
      <w:proofErr w:type="gramEnd"/>
      <w:r w:rsidRPr="00FE77DF">
        <w:rPr>
          <w:color w:val="0070C0"/>
        </w:rPr>
        <w:t xml:space="preserve"> totally okay with doing Further Maths. Only thing is, I want to make sure that I can get the grades because I don't want to be barely scraping it and then already have three topic heavy subjects, and then just continue to just destroy myself mentally if I do Further Maths. Because I know… Have a friend that does Further Maths and he, for him, he doesn't have a lot of free time.” </w:t>
      </w:r>
      <w:r w:rsidRPr="00FE77DF">
        <w:rPr>
          <w:b/>
          <w:bCs/>
          <w:color w:val="0070C0"/>
        </w:rPr>
        <w:t>David (Year 11)</w:t>
      </w:r>
    </w:p>
    <w:p w14:paraId="434E8D82" w14:textId="77777777" w:rsidR="008446C7" w:rsidRPr="00FE77DF" w:rsidRDefault="008446C7" w:rsidP="00393351">
      <w:pPr>
        <w:spacing w:after="120"/>
        <w:rPr>
          <w:b/>
          <w:bCs/>
          <w:color w:val="0070C0"/>
        </w:rPr>
      </w:pPr>
    </w:p>
    <w:p w14:paraId="1DDF16EA" w14:textId="0C509FFC" w:rsidR="005226A3" w:rsidRPr="00A23654" w:rsidRDefault="005226A3" w:rsidP="005226A3">
      <w:pPr>
        <w:pStyle w:val="Heading3"/>
        <w:rPr>
          <w:rFonts w:ascii="Arial" w:eastAsiaTheme="minorHAnsi" w:hAnsi="Arial" w:cs="Arial"/>
          <w:b/>
          <w:bCs/>
          <w:color w:val="auto"/>
        </w:rPr>
      </w:pPr>
      <w:bookmarkStart w:id="13" w:name="_Toc141256540"/>
      <w:r w:rsidRPr="00A23654">
        <w:rPr>
          <w:rFonts w:ascii="Arial" w:eastAsiaTheme="minorHAnsi" w:hAnsi="Arial" w:cs="Arial"/>
          <w:b/>
          <w:bCs/>
          <w:color w:val="auto"/>
        </w:rPr>
        <w:t>Gender related issues</w:t>
      </w:r>
      <w:bookmarkEnd w:id="13"/>
    </w:p>
    <w:p w14:paraId="1EE72610" w14:textId="295ADD0D" w:rsidR="0074074F" w:rsidRPr="00FE77DF" w:rsidRDefault="005A671C" w:rsidP="00393351">
      <w:pPr>
        <w:spacing w:after="120"/>
      </w:pPr>
      <w:r w:rsidRPr="00FE77DF">
        <w:t xml:space="preserve">The study confirmed that generally there were fewer girls than boys are in Further Maths classrooms. Female participants described that girls </w:t>
      </w:r>
      <w:r w:rsidR="00301EBE" w:rsidRPr="00FE77DF">
        <w:t>sometimes</w:t>
      </w:r>
      <w:r w:rsidRPr="00FE77DF">
        <w:t xml:space="preserve"> lack confidence</w:t>
      </w:r>
      <w:r w:rsidR="00BE58A7" w:rsidRPr="00FE77DF">
        <w:t xml:space="preserve"> or </w:t>
      </w:r>
      <w:r w:rsidR="00D658E4" w:rsidRPr="00FE77DF">
        <w:t>are</w:t>
      </w:r>
      <w:r w:rsidR="00BE58A7" w:rsidRPr="00FE77DF">
        <w:t xml:space="preserve"> ‘more careful’</w:t>
      </w:r>
      <w:r w:rsidRPr="00FE77DF">
        <w:t xml:space="preserve">, and the male dominant environment might not always be welcoming to some. One of </w:t>
      </w:r>
      <w:r w:rsidR="00EB1A86" w:rsidRPr="00FE77DF">
        <w:t xml:space="preserve">the </w:t>
      </w:r>
      <w:r w:rsidRPr="00FE77DF">
        <w:t xml:space="preserve">participants also explained that her cultural background discouraged girls from pursuing ambitious career goals. </w:t>
      </w:r>
    </w:p>
    <w:p w14:paraId="4951C708" w14:textId="77777777" w:rsidR="00F76AEB" w:rsidRPr="00FE77DF" w:rsidRDefault="00F76AEB" w:rsidP="00393351">
      <w:pPr>
        <w:spacing w:after="120"/>
        <w:rPr>
          <w:b/>
          <w:bCs/>
          <w:u w:val="single"/>
        </w:rPr>
      </w:pPr>
    </w:p>
    <w:p w14:paraId="15358E66" w14:textId="680A26A4" w:rsidR="00910B7C" w:rsidRPr="00C11F73" w:rsidRDefault="008446C7" w:rsidP="008446C7">
      <w:pPr>
        <w:pStyle w:val="Heading2"/>
        <w:rPr>
          <w:rFonts w:ascii="Arial" w:hAnsi="Arial" w:cs="Arial"/>
          <w:sz w:val="28"/>
          <w:szCs w:val="28"/>
        </w:rPr>
      </w:pPr>
      <w:bookmarkStart w:id="14" w:name="_Toc141256541"/>
      <w:r w:rsidRPr="00C11F73">
        <w:rPr>
          <w:rFonts w:ascii="Arial" w:hAnsi="Arial" w:cs="Arial"/>
          <w:sz w:val="28"/>
          <w:szCs w:val="28"/>
        </w:rPr>
        <w:t>Reasons for Dropping Further Maths</w:t>
      </w:r>
      <w:bookmarkEnd w:id="14"/>
    </w:p>
    <w:p w14:paraId="504DCBC5" w14:textId="24A7F3D4" w:rsidR="0010295D" w:rsidRPr="00FE77DF" w:rsidRDefault="005A671C" w:rsidP="00393351">
      <w:pPr>
        <w:spacing w:after="120"/>
      </w:pPr>
      <w:r w:rsidRPr="00FE77DF">
        <w:t>There ha</w:t>
      </w:r>
      <w:r w:rsidR="00633B2D" w:rsidRPr="00FE77DF">
        <w:t>d</w:t>
      </w:r>
      <w:r w:rsidRPr="00FE77DF">
        <w:t xml:space="preserve"> been virtually no information on why some students drop out of Further Maths A-levels.</w:t>
      </w:r>
    </w:p>
    <w:p w14:paraId="51F51B40" w14:textId="77777777" w:rsidR="00F76AEB" w:rsidRPr="00FE77DF" w:rsidRDefault="00F76AEB" w:rsidP="00393351">
      <w:pPr>
        <w:spacing w:after="120"/>
        <w:rPr>
          <w:sz w:val="18"/>
          <w:szCs w:val="18"/>
        </w:rPr>
      </w:pPr>
    </w:p>
    <w:p w14:paraId="30CCFCBB" w14:textId="0939BBF8" w:rsidR="008446C7" w:rsidRPr="003275BE" w:rsidRDefault="008446C7" w:rsidP="003275BE">
      <w:pPr>
        <w:pStyle w:val="Heading3"/>
        <w:rPr>
          <w:rFonts w:ascii="Arial" w:hAnsi="Arial" w:cs="Arial"/>
          <w:b/>
          <w:bCs/>
        </w:rPr>
      </w:pPr>
      <w:bookmarkStart w:id="15" w:name="_Toc141256542"/>
      <w:r w:rsidRPr="003275BE">
        <w:rPr>
          <w:rFonts w:ascii="Arial" w:hAnsi="Arial" w:cs="Arial"/>
          <w:b/>
          <w:bCs/>
        </w:rPr>
        <w:t>Managing workload</w:t>
      </w:r>
      <w:bookmarkEnd w:id="15"/>
    </w:p>
    <w:p w14:paraId="5C7A94C3" w14:textId="6E4038B9" w:rsidR="00F82813" w:rsidRPr="00FE77DF" w:rsidRDefault="00F82813" w:rsidP="00393351">
      <w:pPr>
        <w:spacing w:after="120"/>
      </w:pPr>
      <w:r w:rsidRPr="00FE77DF">
        <w:t xml:space="preserve">The decision to drop Further Maths could be a strategic one for some students. Some just took Further Maths to improve their Maths A-level grade, and some dropped it </w:t>
      </w:r>
      <w:proofErr w:type="gramStart"/>
      <w:r w:rsidRPr="00FE77DF">
        <w:t>as a way to</w:t>
      </w:r>
      <w:proofErr w:type="gramEnd"/>
      <w:r w:rsidRPr="00FE77DF">
        <w:t xml:space="preserve"> better manage their studies.</w:t>
      </w:r>
    </w:p>
    <w:p w14:paraId="40D40054" w14:textId="00F9ECF2" w:rsidR="0074074F" w:rsidRPr="00FE77DF" w:rsidRDefault="6836D96B" w:rsidP="00393351">
      <w:pPr>
        <w:spacing w:after="120"/>
        <w:rPr>
          <w:b/>
          <w:bCs/>
          <w:color w:val="0070C0"/>
        </w:rPr>
      </w:pPr>
      <w:r w:rsidRPr="6379EAC4">
        <w:rPr>
          <w:color w:val="0070C0"/>
        </w:rPr>
        <w:t>“</w:t>
      </w:r>
      <w:r w:rsidR="247E3AC2" w:rsidRPr="6379EAC4">
        <w:rPr>
          <w:color w:val="0070C0"/>
        </w:rPr>
        <w:t xml:space="preserve">I feel like people drop Further Maths because you do Maths, the whole of </w:t>
      </w:r>
      <w:r w:rsidR="108D3675" w:rsidRPr="6379EAC4">
        <w:rPr>
          <w:color w:val="0070C0"/>
        </w:rPr>
        <w:t>A-level</w:t>
      </w:r>
      <w:r w:rsidR="247E3AC2" w:rsidRPr="6379EAC4">
        <w:rPr>
          <w:color w:val="0070C0"/>
        </w:rPr>
        <w:t xml:space="preserve"> Maths in one year</w:t>
      </w:r>
      <w:r w:rsidR="127B3A24" w:rsidRPr="6379EAC4">
        <w:rPr>
          <w:color w:val="0070C0"/>
        </w:rPr>
        <w:t xml:space="preserve"> (Year 12)</w:t>
      </w:r>
      <w:r w:rsidR="247E3AC2" w:rsidRPr="6379EAC4">
        <w:rPr>
          <w:color w:val="0070C0"/>
        </w:rPr>
        <w:t>. So, then the second year, if you drop Further Maths, you can just relax on that Maths side and concentrate on the other two subjects that you’ll have.”</w:t>
      </w:r>
      <w:r w:rsidRPr="6379EAC4">
        <w:rPr>
          <w:color w:val="0070C0"/>
        </w:rPr>
        <w:t xml:space="preserve"> </w:t>
      </w:r>
      <w:r w:rsidR="247E3AC2" w:rsidRPr="6379EAC4">
        <w:rPr>
          <w:b/>
          <w:bCs/>
          <w:color w:val="0070C0"/>
        </w:rPr>
        <w:t>Christina</w:t>
      </w:r>
      <w:r w:rsidRPr="6379EAC4">
        <w:rPr>
          <w:b/>
          <w:bCs/>
          <w:color w:val="0070C0"/>
        </w:rPr>
        <w:t xml:space="preserve"> (Year 1</w:t>
      </w:r>
      <w:r w:rsidR="247E3AC2" w:rsidRPr="6379EAC4">
        <w:rPr>
          <w:b/>
          <w:bCs/>
          <w:color w:val="0070C0"/>
        </w:rPr>
        <w:t>2</w:t>
      </w:r>
      <w:r w:rsidRPr="6379EAC4">
        <w:rPr>
          <w:b/>
          <w:bCs/>
          <w:color w:val="0070C0"/>
        </w:rPr>
        <w:t>)</w:t>
      </w:r>
    </w:p>
    <w:p w14:paraId="6D9C7E08" w14:textId="77777777" w:rsidR="00F76AEB" w:rsidRPr="00FE77DF" w:rsidRDefault="00F76AEB" w:rsidP="00393351">
      <w:pPr>
        <w:spacing w:after="120"/>
        <w:rPr>
          <w:b/>
          <w:bCs/>
          <w:color w:val="0091D4"/>
        </w:rPr>
      </w:pPr>
    </w:p>
    <w:p w14:paraId="7E126565" w14:textId="120280FA" w:rsidR="008446C7" w:rsidRPr="003275BE" w:rsidRDefault="008446C7" w:rsidP="003275BE">
      <w:pPr>
        <w:pStyle w:val="Heading3"/>
        <w:rPr>
          <w:rFonts w:ascii="Arial" w:hAnsi="Arial" w:cs="Arial"/>
          <w:b/>
          <w:bCs/>
        </w:rPr>
      </w:pPr>
      <w:bookmarkStart w:id="16" w:name="_Toc141256543"/>
      <w:r w:rsidRPr="003275BE">
        <w:rPr>
          <w:rFonts w:ascii="Arial" w:hAnsi="Arial" w:cs="Arial"/>
          <w:b/>
          <w:bCs/>
        </w:rPr>
        <w:t xml:space="preserve">Decision made by the </w:t>
      </w:r>
      <w:proofErr w:type="gramStart"/>
      <w:r w:rsidRPr="003275BE">
        <w:rPr>
          <w:rFonts w:ascii="Arial" w:hAnsi="Arial" w:cs="Arial"/>
          <w:b/>
          <w:bCs/>
        </w:rPr>
        <w:t>school</w:t>
      </w:r>
      <w:bookmarkEnd w:id="16"/>
      <w:proofErr w:type="gramEnd"/>
    </w:p>
    <w:p w14:paraId="21A6EE6D" w14:textId="77777777" w:rsidR="00910B7C" w:rsidRDefault="00F82813" w:rsidP="0074074F">
      <w:pPr>
        <w:spacing w:after="120"/>
      </w:pPr>
      <w:r w:rsidRPr="00FA39F2">
        <w:t>However, our participants revealed that some students were forced to drop the course if they did not meet a high standard. This contributes to the results of Further Maths A-level having significantly more top marks compar</w:t>
      </w:r>
      <w:r w:rsidR="00AC7207" w:rsidRPr="00FA39F2">
        <w:t>ed</w:t>
      </w:r>
      <w:r w:rsidRPr="00FA39F2">
        <w:t xml:space="preserve"> to other subjects</w:t>
      </w:r>
      <w:r w:rsidR="006F31D1" w:rsidRPr="00FA39F2">
        <w:t>.</w:t>
      </w:r>
    </w:p>
    <w:p w14:paraId="52F0489E" w14:textId="79E78A66" w:rsidR="0074074F" w:rsidRPr="00654719" w:rsidRDefault="0074074F" w:rsidP="009B6FBD">
      <w:pPr>
        <w:pStyle w:val="Heading1"/>
        <w:rPr>
          <w:rFonts w:ascii="Arial" w:hAnsi="Arial" w:cs="Arial"/>
          <w:b/>
          <w:bCs/>
        </w:rPr>
      </w:pPr>
      <w:bookmarkStart w:id="17" w:name="_Toc141256544"/>
      <w:r w:rsidRPr="00654719">
        <w:rPr>
          <w:rFonts w:ascii="Arial" w:hAnsi="Arial" w:cs="Arial"/>
          <w:b/>
          <w:bCs/>
        </w:rPr>
        <w:t xml:space="preserve">Conclusion – Further Maths </w:t>
      </w:r>
      <w:r w:rsidR="00E57DBB" w:rsidRPr="00654719">
        <w:rPr>
          <w:rFonts w:ascii="Arial" w:hAnsi="Arial" w:cs="Arial"/>
          <w:b/>
          <w:bCs/>
        </w:rPr>
        <w:t xml:space="preserve">capital + </w:t>
      </w:r>
      <w:r w:rsidRPr="00654719">
        <w:rPr>
          <w:rFonts w:ascii="Arial" w:hAnsi="Arial" w:cs="Arial"/>
          <w:b/>
          <w:bCs/>
        </w:rPr>
        <w:t>habitus?</w:t>
      </w:r>
      <w:bookmarkEnd w:id="17"/>
    </w:p>
    <w:p w14:paraId="564BF53D" w14:textId="6E53E109" w:rsidR="00C676A2" w:rsidRDefault="009F31B9" w:rsidP="00C676A2">
      <w:pPr>
        <w:spacing w:after="120"/>
      </w:pPr>
      <w:r w:rsidRPr="00FA39F2">
        <w:t xml:space="preserve">We would like to apply a conceptual framework to help us </w:t>
      </w:r>
      <w:r w:rsidR="00D658E4" w:rsidRPr="00FA39F2">
        <w:t xml:space="preserve">to </w:t>
      </w:r>
      <w:r w:rsidRPr="00FA39F2">
        <w:t xml:space="preserve">better understand uptake of Further Maths and to find ways to remove or lessen the barriers to participation. </w:t>
      </w:r>
      <w:r w:rsidR="007E578F" w:rsidRPr="00FA39F2">
        <w:t>Bourdieu’s</w:t>
      </w:r>
      <w:r w:rsidR="007254F0" w:rsidRPr="00FA39F2">
        <w:rPr>
          <w:rStyle w:val="FootnoteReference"/>
        </w:rPr>
        <w:footnoteReference w:id="2"/>
      </w:r>
      <w:r w:rsidR="007E578F" w:rsidRPr="00FA39F2">
        <w:t xml:space="preserve"> theory of social reproduction provides a</w:t>
      </w:r>
      <w:r w:rsidR="00804B0F" w:rsidRPr="00FA39F2">
        <w:t xml:space="preserve"> </w:t>
      </w:r>
      <w:r w:rsidR="007E578F" w:rsidRPr="00FA39F2">
        <w:t>useful conceptual tool</w:t>
      </w:r>
      <w:r w:rsidR="00804B0F" w:rsidRPr="00FA39F2">
        <w:t>kit</w:t>
      </w:r>
      <w:r w:rsidR="007E578F" w:rsidRPr="00FA39F2">
        <w:t xml:space="preserve"> </w:t>
      </w:r>
      <w:r w:rsidR="00804B0F" w:rsidRPr="00FA39F2">
        <w:t xml:space="preserve">to </w:t>
      </w:r>
      <w:r w:rsidR="007E578F" w:rsidRPr="00FA39F2">
        <w:t>exami</w:t>
      </w:r>
      <w:r w:rsidR="00804B0F" w:rsidRPr="00FA39F2">
        <w:t>ne</w:t>
      </w:r>
      <w:r w:rsidR="007E578F" w:rsidRPr="00FA39F2">
        <w:t xml:space="preserve"> relations of </w:t>
      </w:r>
      <w:r w:rsidR="009C3B9F" w:rsidRPr="00FA39F2">
        <w:t>different</w:t>
      </w:r>
      <w:r w:rsidR="00804B0F" w:rsidRPr="00FA39F2">
        <w:t xml:space="preserve"> advantages</w:t>
      </w:r>
      <w:r w:rsidR="007E578F" w:rsidRPr="00FA39F2">
        <w:t xml:space="preserve"> and inequalit</w:t>
      </w:r>
      <w:r w:rsidR="009C3B9F" w:rsidRPr="00FA39F2">
        <w:t>ies</w:t>
      </w:r>
      <w:r w:rsidR="007E578F" w:rsidRPr="00FA39F2">
        <w:t>, particularly with respect to education.</w:t>
      </w:r>
      <w:r w:rsidR="00804B0F" w:rsidRPr="00FA39F2">
        <w:t xml:space="preserve"> The theory looks </w:t>
      </w:r>
      <w:r w:rsidR="00804B0F" w:rsidRPr="00FA39F2">
        <w:lastRenderedPageBreak/>
        <w:t xml:space="preserve">at </w:t>
      </w:r>
      <w:r w:rsidR="00AC7207" w:rsidRPr="00FA39F2">
        <w:t xml:space="preserve">how </w:t>
      </w:r>
      <w:r w:rsidR="00804B0F" w:rsidRPr="00FA39F2">
        <w:t xml:space="preserve">social relations and practice are produced through the interaction of habitus and capital within field. </w:t>
      </w:r>
    </w:p>
    <w:p w14:paraId="5521B06B" w14:textId="77777777" w:rsidR="00183EAB" w:rsidRPr="00FA39F2" w:rsidRDefault="00183EAB" w:rsidP="00C676A2">
      <w:pPr>
        <w:spacing w:after="120"/>
      </w:pPr>
    </w:p>
    <w:p w14:paraId="1276D29A" w14:textId="77777777" w:rsidR="00032595" w:rsidRPr="00032595" w:rsidRDefault="00215D26" w:rsidP="00032595">
      <w:pPr>
        <w:spacing w:after="120"/>
        <w:ind w:left="360"/>
      </w:pPr>
      <w:r w:rsidRPr="00032595">
        <w:rPr>
          <w:b/>
          <w:bCs/>
          <w:sz w:val="28"/>
          <w:szCs w:val="28"/>
        </w:rPr>
        <w:t xml:space="preserve">Bourdieu’s ‘thinking </w:t>
      </w:r>
      <w:proofErr w:type="gramStart"/>
      <w:r w:rsidRPr="00032595">
        <w:rPr>
          <w:b/>
          <w:bCs/>
          <w:sz w:val="28"/>
          <w:szCs w:val="28"/>
        </w:rPr>
        <w:t>tools’</w:t>
      </w:r>
      <w:proofErr w:type="gramEnd"/>
    </w:p>
    <w:p w14:paraId="170D7AEA" w14:textId="737A146A" w:rsidR="00542C98" w:rsidRPr="00FA39F2" w:rsidRDefault="00542C98" w:rsidP="00032595">
      <w:pPr>
        <w:pStyle w:val="ListParagraph"/>
        <w:numPr>
          <w:ilvl w:val="0"/>
          <w:numId w:val="7"/>
        </w:numPr>
        <w:spacing w:after="120"/>
      </w:pPr>
      <w:r w:rsidRPr="00032595">
        <w:rPr>
          <w:b/>
          <w:bCs/>
          <w:u w:val="single"/>
        </w:rPr>
        <w:t>Capital:</w:t>
      </w:r>
      <w:r w:rsidRPr="00FA39F2">
        <w:t xml:space="preserve"> The range of cultural, social, and economic resources you have that support engagement in a particular </w:t>
      </w:r>
      <w:proofErr w:type="gramStart"/>
      <w:r w:rsidRPr="00FA39F2">
        <w:t>context, and</w:t>
      </w:r>
      <w:proofErr w:type="gramEnd"/>
      <w:r w:rsidRPr="00FA39F2">
        <w:t xml:space="preserve"> allow you to navigate rules and expectations – the ‘hand’ you can play in the game (e.g. higher education). These capitals are unevenly distributed among different groups in society. The more a person has of capital valued in that </w:t>
      </w:r>
      <w:proofErr w:type="gramStart"/>
      <w:r w:rsidRPr="00FA39F2">
        <w:t>particular context</w:t>
      </w:r>
      <w:proofErr w:type="gramEnd"/>
      <w:r w:rsidRPr="00FA39F2">
        <w:t xml:space="preserve">, the more likely they would succeed. </w:t>
      </w:r>
    </w:p>
    <w:p w14:paraId="17DDCBF3" w14:textId="22A38EC1" w:rsidR="00215D26" w:rsidRPr="00FA39F2" w:rsidRDefault="00542C98" w:rsidP="00032595">
      <w:pPr>
        <w:pStyle w:val="ListParagraph"/>
        <w:numPr>
          <w:ilvl w:val="0"/>
          <w:numId w:val="7"/>
        </w:numPr>
        <w:spacing w:after="120"/>
      </w:pPr>
      <w:r w:rsidRPr="00032595">
        <w:rPr>
          <w:b/>
          <w:bCs/>
          <w:u w:val="single"/>
        </w:rPr>
        <w:t>Habitus:</w:t>
      </w:r>
      <w:r w:rsidRPr="00FA39F2">
        <w:t xml:space="preserve"> The ‘feel for the game’ - a sense of what is normal for ‘people like </w:t>
      </w:r>
      <w:proofErr w:type="gramStart"/>
      <w:r w:rsidRPr="00FA39F2">
        <w:t>us’</w:t>
      </w:r>
      <w:proofErr w:type="gramEnd"/>
      <w:r w:rsidRPr="00FA39F2">
        <w:t>. Habitus can be described as embodied dispositions, skills, habits that a person develops through socialisation and experiences, both past and present. Habitus is not fixed and can be both individual and collective (e.g. middle-class habitus). Habitus produces both ‘a sense of the game’ and ‘an ability to play the game’.</w:t>
      </w:r>
    </w:p>
    <w:p w14:paraId="7D850655" w14:textId="50E497CA" w:rsidR="007E67F4" w:rsidRPr="00FA39F2" w:rsidRDefault="007E67F4" w:rsidP="00032595">
      <w:pPr>
        <w:pStyle w:val="ListParagraph"/>
        <w:numPr>
          <w:ilvl w:val="0"/>
          <w:numId w:val="7"/>
        </w:numPr>
        <w:spacing w:after="120"/>
      </w:pPr>
      <w:r w:rsidRPr="00032595">
        <w:rPr>
          <w:b/>
          <w:bCs/>
          <w:u w:val="single"/>
        </w:rPr>
        <w:t>Field:</w:t>
      </w:r>
      <w:r w:rsidRPr="00FA39F2">
        <w:t xml:space="preserve"> The context in which an individual is operating and making decisions, for example in A-level study or Higher Education. The value of capital is determined by the field. For example, the conjunction of working-class habitus and the middle-class field of highly selective university might make some working-class students feel like ‘fish out of water’.</w:t>
      </w:r>
    </w:p>
    <w:p w14:paraId="17359440" w14:textId="77777777" w:rsidR="007E67F4" w:rsidRPr="00FA39F2" w:rsidRDefault="007E67F4" w:rsidP="00280CD9">
      <w:pPr>
        <w:spacing w:after="120"/>
      </w:pPr>
    </w:p>
    <w:p w14:paraId="462DE3C6" w14:textId="46E05F3F" w:rsidR="009F31B9" w:rsidRDefault="009F31B9" w:rsidP="00545C2E">
      <w:pPr>
        <w:spacing w:after="120"/>
      </w:pPr>
      <w:r w:rsidRPr="00FA39F2">
        <w:t xml:space="preserve">So what kind of resources or capital would support students to choose and succeed in A-level Further Maths? </w:t>
      </w:r>
      <w:r w:rsidR="00227780" w:rsidRPr="00FA39F2">
        <w:t xml:space="preserve">How can we support students to feel like Further Maths is an option for them? What are things the Outreach Department can do to support the uptake of Further Maths, and what are constraints in the education system we </w:t>
      </w:r>
      <w:proofErr w:type="gramStart"/>
      <w:r w:rsidR="00227780" w:rsidRPr="00FA39F2">
        <w:t>have to</w:t>
      </w:r>
      <w:proofErr w:type="gramEnd"/>
      <w:r w:rsidR="00227780" w:rsidRPr="00FA39F2">
        <w:t xml:space="preserve"> consider?</w:t>
      </w:r>
    </w:p>
    <w:p w14:paraId="1A667ADA" w14:textId="77777777" w:rsidR="00F91496" w:rsidRDefault="00F91496" w:rsidP="00654719">
      <w:pPr>
        <w:pStyle w:val="Heading2"/>
        <w:rPr>
          <w:rFonts w:ascii="Arial" w:hAnsi="Arial" w:cs="Arial"/>
          <w:sz w:val="28"/>
          <w:szCs w:val="28"/>
        </w:rPr>
        <w:sectPr w:rsidR="00F91496" w:rsidSect="000F4B3F">
          <w:footerReference w:type="default" r:id="rId9"/>
          <w:headerReference w:type="first" r:id="rId10"/>
          <w:footerReference w:type="first" r:id="rId11"/>
          <w:pgSz w:w="11906" w:h="16838"/>
          <w:pgMar w:top="992" w:right="992" w:bottom="992" w:left="992" w:header="708" w:footer="708" w:gutter="0"/>
          <w:cols w:space="708"/>
          <w:titlePg/>
          <w:docGrid w:linePitch="360"/>
        </w:sectPr>
      </w:pPr>
    </w:p>
    <w:p w14:paraId="17E72AED" w14:textId="77777777" w:rsidR="00F91496" w:rsidRDefault="00F91496" w:rsidP="00654719">
      <w:pPr>
        <w:pStyle w:val="Heading2"/>
        <w:rPr>
          <w:rFonts w:ascii="Arial" w:hAnsi="Arial" w:cs="Arial"/>
          <w:sz w:val="28"/>
          <w:szCs w:val="28"/>
        </w:rPr>
      </w:pPr>
    </w:p>
    <w:p w14:paraId="66BBD94A" w14:textId="56084FB8" w:rsidR="00AA1EF2" w:rsidRPr="00654719" w:rsidRDefault="00AA1EF2" w:rsidP="00654719">
      <w:pPr>
        <w:pStyle w:val="Heading2"/>
        <w:rPr>
          <w:rFonts w:ascii="Arial" w:hAnsi="Arial" w:cs="Arial"/>
          <w:sz w:val="28"/>
          <w:szCs w:val="28"/>
        </w:rPr>
      </w:pPr>
      <w:bookmarkStart w:id="18" w:name="_Toc141256545"/>
      <w:r w:rsidRPr="00654719">
        <w:rPr>
          <w:rFonts w:ascii="Arial" w:hAnsi="Arial" w:cs="Arial"/>
          <w:sz w:val="28"/>
          <w:szCs w:val="28"/>
        </w:rPr>
        <w:t>Further Maths Habitus?</w:t>
      </w:r>
      <w:bookmarkEnd w:id="18"/>
    </w:p>
    <w:p w14:paraId="2D6B66DF" w14:textId="1FE3660D" w:rsidR="00D270CC" w:rsidRPr="00FA39F2" w:rsidRDefault="00FA39F2" w:rsidP="005E2B33">
      <w:pPr>
        <w:spacing w:after="120"/>
        <w:rPr>
          <w:color w:val="0070C0"/>
        </w:rPr>
      </w:pPr>
      <w:r w:rsidRPr="00FA39F2">
        <w:rPr>
          <w:color w:val="0070C0"/>
        </w:rPr>
        <w:t>“</w:t>
      </w:r>
      <w:r w:rsidR="00D270CC" w:rsidRPr="00FA39F2">
        <w:rPr>
          <w:color w:val="0070C0"/>
        </w:rPr>
        <w:t xml:space="preserve">They [people </w:t>
      </w:r>
      <w:r w:rsidR="00BE68A6" w:rsidRPr="00FA39F2">
        <w:rPr>
          <w:color w:val="0070C0"/>
        </w:rPr>
        <w:t xml:space="preserve">who </w:t>
      </w:r>
      <w:r w:rsidR="00D270CC" w:rsidRPr="00FA39F2">
        <w:rPr>
          <w:color w:val="0070C0"/>
        </w:rPr>
        <w:t xml:space="preserve">don’t do </w:t>
      </w:r>
      <w:r w:rsidR="00D658E4" w:rsidRPr="00FA39F2">
        <w:rPr>
          <w:color w:val="0070C0"/>
        </w:rPr>
        <w:t>F</w:t>
      </w:r>
      <w:r w:rsidR="00D270CC" w:rsidRPr="00FA39F2">
        <w:rPr>
          <w:color w:val="0070C0"/>
        </w:rPr>
        <w:t xml:space="preserve">urther </w:t>
      </w:r>
      <w:r w:rsidR="00D658E4" w:rsidRPr="00FA39F2">
        <w:rPr>
          <w:color w:val="0070C0"/>
        </w:rPr>
        <w:t>M</w:t>
      </w:r>
      <w:r w:rsidR="00D270CC" w:rsidRPr="00FA39F2">
        <w:rPr>
          <w:color w:val="0070C0"/>
        </w:rPr>
        <w:t>aths] might see a couple of integral signs and someone who hasn’t seen an integral sign before in their life, they go oh, what is this? And then, they might think, you must be a genius. You work on this all the time. But once you get introduced to it, it’s kind of second nature to you</w:t>
      </w:r>
      <w:r w:rsidRPr="00FA39F2">
        <w:rPr>
          <w:color w:val="0070C0"/>
        </w:rPr>
        <w:t>”</w:t>
      </w:r>
      <w:r w:rsidR="00D270CC" w:rsidRPr="00FA39F2">
        <w:rPr>
          <w:color w:val="0070C0"/>
        </w:rPr>
        <w:t xml:space="preserve">. </w:t>
      </w:r>
      <w:proofErr w:type="spellStart"/>
      <w:r w:rsidR="00D270CC" w:rsidRPr="00FA39F2">
        <w:rPr>
          <w:b/>
          <w:bCs/>
          <w:color w:val="0070C0"/>
        </w:rPr>
        <w:t>Jedrick</w:t>
      </w:r>
      <w:proofErr w:type="spellEnd"/>
      <w:r w:rsidR="001F1990" w:rsidRPr="00FA39F2">
        <w:rPr>
          <w:b/>
          <w:bCs/>
          <w:color w:val="0070C0"/>
        </w:rPr>
        <w:t xml:space="preserve"> (</w:t>
      </w:r>
      <w:r w:rsidR="00D270CC" w:rsidRPr="00FA39F2">
        <w:rPr>
          <w:b/>
          <w:bCs/>
          <w:color w:val="0070C0"/>
        </w:rPr>
        <w:t>Year 13)</w:t>
      </w:r>
    </w:p>
    <w:p w14:paraId="4137E9CA" w14:textId="633C9E41" w:rsidR="007254F0" w:rsidRPr="00877C8A" w:rsidRDefault="0090738F" w:rsidP="003E0CED">
      <w:pPr>
        <w:spacing w:after="120"/>
      </w:pPr>
      <w:proofErr w:type="spellStart"/>
      <w:r w:rsidRPr="00877C8A">
        <w:t>Jedrick</w:t>
      </w:r>
      <w:proofErr w:type="spellEnd"/>
      <w:r w:rsidRPr="00877C8A">
        <w:t xml:space="preserve"> descri</w:t>
      </w:r>
      <w:r w:rsidR="00D658E4" w:rsidRPr="00877C8A">
        <w:t>bes</w:t>
      </w:r>
      <w:r w:rsidRPr="00877C8A">
        <w:t xml:space="preserve"> doing complex maths problems bec</w:t>
      </w:r>
      <w:r w:rsidR="00D658E4" w:rsidRPr="00877C8A">
        <w:t>oming</w:t>
      </w:r>
      <w:r w:rsidRPr="00877C8A">
        <w:t xml:space="preserve"> second nature to him, which made him feel at ease and normal in a Further Maths classroom, feeling like ‘fish in the water’. </w:t>
      </w:r>
    </w:p>
    <w:p w14:paraId="512BE44E" w14:textId="5A686EE6" w:rsidR="006D5A5A" w:rsidRPr="00877C8A" w:rsidRDefault="002F3B7E" w:rsidP="003E0CED">
      <w:pPr>
        <w:spacing w:after="120"/>
      </w:pPr>
      <w:r w:rsidRPr="00877C8A">
        <w:t xml:space="preserve">How can we support more students to feel like </w:t>
      </w:r>
      <w:r w:rsidR="006D5A5A" w:rsidRPr="00877C8A">
        <w:t xml:space="preserve">‘fish in water’ in </w:t>
      </w:r>
      <w:r w:rsidRPr="00877C8A">
        <w:t xml:space="preserve">Further Maths? </w:t>
      </w:r>
      <w:r w:rsidR="00AA1EF2" w:rsidRPr="00877C8A">
        <w:t xml:space="preserve">From this study, we identified some shared clusters of attitudes and dispositions among Further Maths </w:t>
      </w:r>
      <w:r w:rsidR="0044601E" w:rsidRPr="00877C8A">
        <w:t>A-level</w:t>
      </w:r>
      <w:r w:rsidR="00AA1EF2" w:rsidRPr="00877C8A">
        <w:t xml:space="preserve"> students, which we interpreted as </w:t>
      </w:r>
      <w:r w:rsidR="00D270CC" w:rsidRPr="00877C8A">
        <w:t>signalling</w:t>
      </w:r>
      <w:r w:rsidR="00AA1EF2" w:rsidRPr="00877C8A">
        <w:t xml:space="preserve"> a potential </w:t>
      </w:r>
      <w:r w:rsidR="00227780" w:rsidRPr="00877C8A">
        <w:t xml:space="preserve">form of </w:t>
      </w:r>
      <w:r w:rsidR="00AA1EF2" w:rsidRPr="00877C8A">
        <w:t xml:space="preserve">Further Maths habitus. </w:t>
      </w:r>
      <w:r w:rsidR="003E0CED" w:rsidRPr="00877C8A">
        <w:t>Further Maths s</w:t>
      </w:r>
      <w:r w:rsidR="00AA1EF2" w:rsidRPr="00877C8A">
        <w:t>tudents overall have a high level of appreciation of maths</w:t>
      </w:r>
      <w:r w:rsidR="0090738F" w:rsidRPr="00877C8A">
        <w:t xml:space="preserve"> (and its applications)</w:t>
      </w:r>
      <w:r w:rsidR="00AA1EF2" w:rsidRPr="00877C8A">
        <w:t xml:space="preserve">, </w:t>
      </w:r>
      <w:r w:rsidR="00792F57" w:rsidRPr="00877C8A">
        <w:t xml:space="preserve">and </w:t>
      </w:r>
      <w:r w:rsidR="00227780" w:rsidRPr="00877C8A">
        <w:t>often</w:t>
      </w:r>
      <w:r w:rsidR="00AA1EF2" w:rsidRPr="00877C8A">
        <w:t xml:space="preserve"> enjoy </w:t>
      </w:r>
      <w:r w:rsidR="0090738F" w:rsidRPr="00877C8A">
        <w:t>the ‘</w:t>
      </w:r>
      <w:r w:rsidR="00AA1EF2" w:rsidRPr="00877C8A">
        <w:t>beauty</w:t>
      </w:r>
      <w:r w:rsidR="0090738F" w:rsidRPr="00877C8A">
        <w:t>’</w:t>
      </w:r>
      <w:r w:rsidR="00AA1EF2" w:rsidRPr="00877C8A">
        <w:t xml:space="preserve"> or complexity of </w:t>
      </w:r>
      <w:r w:rsidR="00227780" w:rsidRPr="00877C8A">
        <w:t xml:space="preserve">more advanced </w:t>
      </w:r>
      <w:r w:rsidR="00AA1EF2" w:rsidRPr="00877C8A">
        <w:t xml:space="preserve">maths, as well as overcoming the challenges to find answers. </w:t>
      </w:r>
      <w:r w:rsidR="00D270CC" w:rsidRPr="00877C8A">
        <w:t>The construction of Further Maths as a difficult or hard subject is longstanding</w:t>
      </w:r>
      <w:r w:rsidR="003E0CED" w:rsidRPr="00877C8A">
        <w:t>,</w:t>
      </w:r>
      <w:r w:rsidR="00D270CC" w:rsidRPr="00877C8A">
        <w:t xml:space="preserve"> and difficulty</w:t>
      </w:r>
      <w:r w:rsidR="0090738F" w:rsidRPr="00877C8A">
        <w:t xml:space="preserve"> (and difficulty to achieve a high mark)</w:t>
      </w:r>
      <w:r w:rsidR="00D270CC" w:rsidRPr="00877C8A">
        <w:t xml:space="preserve"> is a</w:t>
      </w:r>
      <w:r w:rsidR="0090738F" w:rsidRPr="00877C8A">
        <w:t xml:space="preserve"> strong</w:t>
      </w:r>
      <w:r w:rsidR="00BA378F" w:rsidRPr="00877C8A">
        <w:t xml:space="preserve"> </w:t>
      </w:r>
      <w:r w:rsidR="00D270CC" w:rsidRPr="00877C8A">
        <w:t xml:space="preserve">reason given by </w:t>
      </w:r>
      <w:r w:rsidR="007254F0" w:rsidRPr="00877C8A">
        <w:t xml:space="preserve">some </w:t>
      </w:r>
      <w:r w:rsidR="00D270CC" w:rsidRPr="00877C8A">
        <w:t xml:space="preserve">students for decisions not to pursue the subject. </w:t>
      </w:r>
      <w:r w:rsidR="006B7587" w:rsidRPr="00877C8A">
        <w:t xml:space="preserve">Although Further Maths students might not describe themselves as exceptionally </w:t>
      </w:r>
      <w:r w:rsidR="00A20BC6" w:rsidRPr="00877C8A">
        <w:t>intelligent</w:t>
      </w:r>
      <w:r w:rsidR="006B7587" w:rsidRPr="00877C8A">
        <w:t xml:space="preserve">, the general perception from other students </w:t>
      </w:r>
      <w:r w:rsidR="00D270CC" w:rsidRPr="00877C8A">
        <w:t>is that</w:t>
      </w:r>
      <w:r w:rsidR="006B7587" w:rsidRPr="00877C8A">
        <w:t xml:space="preserve"> Further Maths students are </w:t>
      </w:r>
      <w:r w:rsidR="00E57DBB" w:rsidRPr="00877C8A">
        <w:t>‘</w:t>
      </w:r>
      <w:r w:rsidR="006B7587" w:rsidRPr="00877C8A">
        <w:t>clever</w:t>
      </w:r>
      <w:r w:rsidR="00E57DBB" w:rsidRPr="00877C8A">
        <w:t>’</w:t>
      </w:r>
      <w:r w:rsidR="006B7587" w:rsidRPr="00877C8A">
        <w:t xml:space="preserve"> and </w:t>
      </w:r>
      <w:r w:rsidR="00E57DBB" w:rsidRPr="00877C8A">
        <w:t>‘</w:t>
      </w:r>
      <w:r w:rsidR="006B7587" w:rsidRPr="00877C8A">
        <w:t>smart</w:t>
      </w:r>
      <w:r w:rsidR="00E57DBB" w:rsidRPr="00877C8A">
        <w:t>’</w:t>
      </w:r>
      <w:r w:rsidR="00D270CC" w:rsidRPr="00877C8A">
        <w:t xml:space="preserve">, which might affect high attaining students who lack confidence and </w:t>
      </w:r>
      <w:r w:rsidR="00B30CC3" w:rsidRPr="00877C8A">
        <w:t xml:space="preserve">come to see the subject as ‘not </w:t>
      </w:r>
      <w:r w:rsidR="00B30CC3" w:rsidRPr="00877C8A">
        <w:lastRenderedPageBreak/>
        <w:t>for me’</w:t>
      </w:r>
      <w:r w:rsidR="006B7587" w:rsidRPr="00877C8A">
        <w:t xml:space="preserve">. However, it is strongly agreed by everyone that hard work is </w:t>
      </w:r>
      <w:r w:rsidR="00BA378F" w:rsidRPr="00877C8A">
        <w:t xml:space="preserve">a </w:t>
      </w:r>
      <w:r w:rsidR="006B7587" w:rsidRPr="00877C8A">
        <w:t xml:space="preserve">major and necessary component </w:t>
      </w:r>
      <w:r w:rsidR="00BA378F" w:rsidRPr="00877C8A">
        <w:t xml:space="preserve">for </w:t>
      </w:r>
      <w:r w:rsidR="006B7587" w:rsidRPr="00877C8A">
        <w:t>studying Further Maths. There is also an exp</w:t>
      </w:r>
      <w:r w:rsidR="00D270CC" w:rsidRPr="00877C8A">
        <w:t>ecta</w:t>
      </w:r>
      <w:r w:rsidR="006B7587" w:rsidRPr="00877C8A">
        <w:t>tion to be challenged</w:t>
      </w:r>
      <w:r w:rsidR="00BA378F" w:rsidRPr="00877C8A">
        <w:t xml:space="preserve"> and overcome struggles to find answers</w:t>
      </w:r>
      <w:r w:rsidR="006B7587" w:rsidRPr="00877C8A">
        <w:t>.</w:t>
      </w:r>
      <w:r w:rsidR="003E0CED" w:rsidRPr="00877C8A">
        <w:t xml:space="preserve"> </w:t>
      </w:r>
      <w:r w:rsidR="00A20BC6" w:rsidRPr="00877C8A">
        <w:t>Resilience, s</w:t>
      </w:r>
      <w:r w:rsidR="003E0CED" w:rsidRPr="00877C8A">
        <w:t xml:space="preserve">elf-motivation, capacity for independent study and </w:t>
      </w:r>
      <w:r w:rsidR="00D658E4" w:rsidRPr="00877C8A">
        <w:t xml:space="preserve">a </w:t>
      </w:r>
      <w:r w:rsidR="003E0CED" w:rsidRPr="00877C8A">
        <w:t xml:space="preserve">strong work ethic appear to be crucial to successful Further Maths participation. </w:t>
      </w:r>
    </w:p>
    <w:p w14:paraId="790768DC" w14:textId="2E506497" w:rsidR="003E0CED" w:rsidRPr="00877C8A" w:rsidRDefault="00B30CC3" w:rsidP="00545C2E">
      <w:pPr>
        <w:spacing w:after="120"/>
      </w:pPr>
      <w:r w:rsidRPr="00877C8A">
        <w:t>However, there is also an expectation</w:t>
      </w:r>
      <w:r w:rsidR="006D5A5A" w:rsidRPr="00877C8A">
        <w:t xml:space="preserve"> (and pressure)</w:t>
      </w:r>
      <w:r w:rsidRPr="00877C8A">
        <w:t xml:space="preserve"> to achieve top results, as there is heavy gatekeeping on who could </w:t>
      </w:r>
      <w:r w:rsidR="006D5A5A" w:rsidRPr="00877C8A">
        <w:t>study</w:t>
      </w:r>
      <w:r w:rsidRPr="00877C8A">
        <w:t xml:space="preserve"> or continue</w:t>
      </w:r>
      <w:r w:rsidR="006D5A5A" w:rsidRPr="00877C8A">
        <w:t xml:space="preserve"> through</w:t>
      </w:r>
      <w:r w:rsidR="00DA6966" w:rsidRPr="00877C8A">
        <w:t xml:space="preserve"> a</w:t>
      </w:r>
      <w:r w:rsidRPr="00877C8A">
        <w:t xml:space="preserve"> Further Maths </w:t>
      </w:r>
      <w:r w:rsidR="0044601E" w:rsidRPr="00877C8A">
        <w:t>A-level</w:t>
      </w:r>
      <w:r w:rsidRPr="00877C8A">
        <w:t xml:space="preserve">. </w:t>
      </w:r>
      <w:r w:rsidR="006B7587" w:rsidRPr="00877C8A">
        <w:t xml:space="preserve">Further Maths students tend to have clear goals for their higher education and career plans, generally in </w:t>
      </w:r>
      <w:r w:rsidR="00227780" w:rsidRPr="00877C8A">
        <w:t>M</w:t>
      </w:r>
      <w:r w:rsidR="006B7587" w:rsidRPr="00877C8A">
        <w:t xml:space="preserve">aths, </w:t>
      </w:r>
      <w:r w:rsidR="00227780" w:rsidRPr="00877C8A">
        <w:t>P</w:t>
      </w:r>
      <w:r w:rsidR="006B7587" w:rsidRPr="00877C8A">
        <w:t xml:space="preserve">hysics, </w:t>
      </w:r>
      <w:r w:rsidR="00227780" w:rsidRPr="00877C8A">
        <w:t>E</w:t>
      </w:r>
      <w:r w:rsidR="006B7587" w:rsidRPr="00877C8A">
        <w:t xml:space="preserve">ngineering or </w:t>
      </w:r>
      <w:r w:rsidR="00227780" w:rsidRPr="00877C8A">
        <w:t>C</w:t>
      </w:r>
      <w:r w:rsidR="006B7587" w:rsidRPr="00877C8A">
        <w:t xml:space="preserve">omputer </w:t>
      </w:r>
      <w:r w:rsidR="00227780" w:rsidRPr="00877C8A">
        <w:t>S</w:t>
      </w:r>
      <w:r w:rsidR="006B7587" w:rsidRPr="00877C8A">
        <w:t>cience</w:t>
      </w:r>
      <w:r w:rsidRPr="00877C8A">
        <w:t xml:space="preserve"> – this also includes students who strategically drop Further Maths after studying it for one year to help their Maths </w:t>
      </w:r>
      <w:r w:rsidR="0044601E" w:rsidRPr="00877C8A">
        <w:t>A-level</w:t>
      </w:r>
      <w:r w:rsidRPr="00877C8A">
        <w:t xml:space="preserve"> and/or concentrate on their other subjects in the second year. It is also generally the case that fewer girls are studying Further Maths, </w:t>
      </w:r>
      <w:r w:rsidR="0090738F" w:rsidRPr="00877C8A">
        <w:t xml:space="preserve">and the </w:t>
      </w:r>
      <w:r w:rsidR="006D5A5A" w:rsidRPr="00877C8A">
        <w:t>male</w:t>
      </w:r>
      <w:r w:rsidR="00FA55B6" w:rsidRPr="00877C8A">
        <w:t>-</w:t>
      </w:r>
      <w:r w:rsidR="006D5A5A" w:rsidRPr="00877C8A">
        <w:t>domina</w:t>
      </w:r>
      <w:r w:rsidR="00FA55B6" w:rsidRPr="00877C8A">
        <w:t>ted</w:t>
      </w:r>
      <w:r w:rsidR="006D5A5A" w:rsidRPr="00877C8A">
        <w:t xml:space="preserve"> </w:t>
      </w:r>
      <w:r w:rsidR="0090738F" w:rsidRPr="00877C8A">
        <w:t>environment could reinforce</w:t>
      </w:r>
      <w:r w:rsidR="003E0CED" w:rsidRPr="00877C8A">
        <w:t xml:space="preserve"> the situation</w:t>
      </w:r>
      <w:r w:rsidR="0090738F" w:rsidRPr="00877C8A">
        <w:t xml:space="preserve"> and discourage more girls </w:t>
      </w:r>
      <w:r w:rsidR="00792F57" w:rsidRPr="00877C8A">
        <w:t>from</w:t>
      </w:r>
      <w:r w:rsidR="0090738F" w:rsidRPr="00877C8A">
        <w:t xml:space="preserve"> pursu</w:t>
      </w:r>
      <w:r w:rsidR="00792F57" w:rsidRPr="00877C8A">
        <w:t>ing</w:t>
      </w:r>
      <w:r w:rsidR="0090738F" w:rsidRPr="00877C8A">
        <w:t xml:space="preserve"> the subject.</w:t>
      </w:r>
    </w:p>
    <w:p w14:paraId="432C8C74" w14:textId="003E07BF" w:rsidR="00545C2E" w:rsidRPr="00654719" w:rsidRDefault="00545C2E" w:rsidP="00F14A99">
      <w:pPr>
        <w:pStyle w:val="Heading2"/>
        <w:rPr>
          <w:rFonts w:ascii="Arial" w:hAnsi="Arial" w:cs="Arial"/>
          <w:sz w:val="28"/>
          <w:szCs w:val="28"/>
        </w:rPr>
      </w:pPr>
      <w:bookmarkStart w:id="19" w:name="_Toc141256546"/>
      <w:r w:rsidRPr="00654719">
        <w:rPr>
          <w:rFonts w:ascii="Arial" w:hAnsi="Arial" w:cs="Arial"/>
          <w:sz w:val="28"/>
          <w:szCs w:val="28"/>
        </w:rPr>
        <w:t>Further Maths Capital</w:t>
      </w:r>
      <w:bookmarkEnd w:id="19"/>
    </w:p>
    <w:p w14:paraId="1F150C98" w14:textId="4251041C" w:rsidR="00545C2E" w:rsidRPr="00877C8A" w:rsidRDefault="00545C2E" w:rsidP="00545C2E">
      <w:pPr>
        <w:spacing w:after="120"/>
      </w:pPr>
      <w:r w:rsidRPr="00877C8A">
        <w:t xml:space="preserve">The concept of </w:t>
      </w:r>
      <w:r w:rsidR="00E402BE" w:rsidRPr="00877C8A">
        <w:t>‘</w:t>
      </w:r>
      <w:r w:rsidRPr="00877C8A">
        <w:t xml:space="preserve">Further Mathematics </w:t>
      </w:r>
      <w:r w:rsidR="00E402BE" w:rsidRPr="00877C8A">
        <w:t>C</w:t>
      </w:r>
      <w:r w:rsidRPr="00877C8A">
        <w:t>apital</w:t>
      </w:r>
      <w:r w:rsidR="00E402BE" w:rsidRPr="00877C8A">
        <w:t>’</w:t>
      </w:r>
      <w:r w:rsidRPr="00877C8A">
        <w:t xml:space="preserve"> discussed here is an extension of the concept of Science Capital</w:t>
      </w:r>
      <w:r w:rsidR="00E402BE" w:rsidRPr="00877C8A">
        <w:t xml:space="preserve"> </w:t>
      </w:r>
      <w:r w:rsidR="006F31D1" w:rsidRPr="00877C8A">
        <w:t xml:space="preserve">(Archer et al., 2015) </w:t>
      </w:r>
      <w:r w:rsidR="00E402BE" w:rsidRPr="00877C8A">
        <w:t>and recent Further Maths re</w:t>
      </w:r>
      <w:r w:rsidR="005C4D82" w:rsidRPr="00877C8A">
        <w:t>search</w:t>
      </w:r>
      <w:r w:rsidR="005A34E0" w:rsidRPr="00877C8A">
        <w:t xml:space="preserve"> (Boylan et al., 2016)</w:t>
      </w:r>
      <w:r w:rsidRPr="00877C8A">
        <w:t>. The idea of Further Maths Capital provides a way to understand and organise all th</w:t>
      </w:r>
      <w:r w:rsidR="00F91496">
        <w:t xml:space="preserve">e </w:t>
      </w:r>
      <w:r w:rsidR="006D5A5A" w:rsidRPr="00877C8A">
        <w:t xml:space="preserve">Maths and </w:t>
      </w:r>
      <w:r w:rsidRPr="00877C8A">
        <w:t>Further Maths-related resources that a person may have</w:t>
      </w:r>
      <w:r w:rsidR="006D5A5A" w:rsidRPr="00877C8A">
        <w:t xml:space="preserve"> or can develop</w:t>
      </w:r>
      <w:r w:rsidRPr="00877C8A">
        <w:t xml:space="preserve">. </w:t>
      </w:r>
      <w:r w:rsidR="006D5A5A" w:rsidRPr="00877C8A">
        <w:t>The</w:t>
      </w:r>
      <w:r w:rsidRPr="00877C8A">
        <w:t xml:space="preserve"> Further Maths capital ‘bag’ holds </w:t>
      </w:r>
      <w:proofErr w:type="gramStart"/>
      <w:r w:rsidRPr="00877C8A">
        <w:t>all of</w:t>
      </w:r>
      <w:proofErr w:type="gramEnd"/>
      <w:r w:rsidRPr="00877C8A">
        <w:t xml:space="preserve"> your Further Maths-related interests, knowledge, relations</w:t>
      </w:r>
      <w:r w:rsidR="005C4D82" w:rsidRPr="00877C8A">
        <w:t xml:space="preserve">, </w:t>
      </w:r>
      <w:r w:rsidRPr="00877C8A">
        <w:t>behaviours</w:t>
      </w:r>
      <w:r w:rsidR="005C4D82" w:rsidRPr="00877C8A">
        <w:t xml:space="preserve"> and resources</w:t>
      </w:r>
      <w:r w:rsidRPr="00877C8A">
        <w:t>, encompassing:</w:t>
      </w:r>
    </w:p>
    <w:p w14:paraId="0590DD84" w14:textId="1F17251A" w:rsidR="00545C2E" w:rsidRPr="00877C8A" w:rsidRDefault="00545C2E" w:rsidP="002E64C7">
      <w:pPr>
        <w:pStyle w:val="ListParagraph"/>
        <w:numPr>
          <w:ilvl w:val="0"/>
          <w:numId w:val="5"/>
        </w:numPr>
        <w:spacing w:after="120"/>
      </w:pPr>
      <w:r w:rsidRPr="002E64C7">
        <w:rPr>
          <w:b/>
          <w:bCs/>
          <w:i/>
          <w:iCs/>
        </w:rPr>
        <w:t>What you know about Maths and Further Maths</w:t>
      </w:r>
      <w:r w:rsidRPr="00877C8A">
        <w:t xml:space="preserve"> (e.g. GCSE Maths attainment,</w:t>
      </w:r>
      <w:r w:rsidR="00092DEF" w:rsidRPr="00877C8A">
        <w:t xml:space="preserve"> knowledge of Further Maths curriculum content</w:t>
      </w:r>
      <w:proofErr w:type="gramStart"/>
      <w:r w:rsidRPr="00877C8A">
        <w:t>);</w:t>
      </w:r>
      <w:proofErr w:type="gramEnd"/>
    </w:p>
    <w:p w14:paraId="218ED092" w14:textId="01B86ECB" w:rsidR="00545C2E" w:rsidRPr="00877C8A" w:rsidRDefault="00545C2E" w:rsidP="002E64C7">
      <w:pPr>
        <w:pStyle w:val="ListParagraph"/>
        <w:numPr>
          <w:ilvl w:val="0"/>
          <w:numId w:val="5"/>
        </w:numPr>
        <w:spacing w:after="120"/>
      </w:pPr>
      <w:r w:rsidRPr="002E64C7">
        <w:rPr>
          <w:b/>
          <w:bCs/>
          <w:i/>
          <w:iCs/>
        </w:rPr>
        <w:t>How you think about Maths and Further Maths</w:t>
      </w:r>
      <w:r w:rsidRPr="00877C8A">
        <w:t xml:space="preserve"> (your </w:t>
      </w:r>
      <w:r w:rsidR="006D5A5A" w:rsidRPr="00877C8A">
        <w:t>M</w:t>
      </w:r>
      <w:r w:rsidRPr="00877C8A">
        <w:t>aths</w:t>
      </w:r>
      <w:r w:rsidR="006D5A5A" w:rsidRPr="00877C8A">
        <w:t xml:space="preserve"> and Further Maths</w:t>
      </w:r>
      <w:r w:rsidRPr="00877C8A">
        <w:t>-related attitudes and dispositions</w:t>
      </w:r>
      <w:r w:rsidR="00B16E5E" w:rsidRPr="00877C8A">
        <w:t>, e.g. knowledge about the transferability of Maths and particularly Further Maths, understandings of the exchange value of maths</w:t>
      </w:r>
      <w:r w:rsidR="005A34E0" w:rsidRPr="00877C8A">
        <w:t xml:space="preserve"> </w:t>
      </w:r>
      <w:r w:rsidR="00B16E5E" w:rsidRPr="00877C8A">
        <w:t>qualifications</w:t>
      </w:r>
      <w:r w:rsidR="005A34E0" w:rsidRPr="00877C8A">
        <w:t xml:space="preserve"> and degrees with high mathematical content</w:t>
      </w:r>
      <w:proofErr w:type="gramStart"/>
      <w:r w:rsidRPr="00877C8A">
        <w:t>);</w:t>
      </w:r>
      <w:proofErr w:type="gramEnd"/>
    </w:p>
    <w:p w14:paraId="7EE42CAE" w14:textId="551B09C7" w:rsidR="00545C2E" w:rsidRPr="00877C8A" w:rsidRDefault="00545C2E" w:rsidP="002E64C7">
      <w:pPr>
        <w:pStyle w:val="ListParagraph"/>
        <w:numPr>
          <w:ilvl w:val="0"/>
          <w:numId w:val="5"/>
        </w:numPr>
        <w:spacing w:after="120"/>
      </w:pPr>
      <w:r w:rsidRPr="002E64C7">
        <w:rPr>
          <w:b/>
          <w:bCs/>
          <w:i/>
          <w:iCs/>
        </w:rPr>
        <w:t xml:space="preserve">What Maths/Further Maths-related activities you </w:t>
      </w:r>
      <w:r w:rsidR="00792F57" w:rsidRPr="002E64C7">
        <w:rPr>
          <w:b/>
          <w:bCs/>
          <w:i/>
          <w:iCs/>
        </w:rPr>
        <w:t xml:space="preserve">do </w:t>
      </w:r>
      <w:r w:rsidRPr="002E64C7">
        <w:rPr>
          <w:b/>
          <w:bCs/>
          <w:i/>
          <w:iCs/>
        </w:rPr>
        <w:t>outside of lessons</w:t>
      </w:r>
      <w:r w:rsidRPr="00877C8A">
        <w:t xml:space="preserve"> (e.g. consumption of maths related media, maths related extracurricular activities, tutoring</w:t>
      </w:r>
      <w:proofErr w:type="gramStart"/>
      <w:r w:rsidRPr="00877C8A">
        <w:t>);</w:t>
      </w:r>
      <w:proofErr w:type="gramEnd"/>
      <w:r w:rsidRPr="00877C8A">
        <w:t xml:space="preserve"> </w:t>
      </w:r>
    </w:p>
    <w:p w14:paraId="61DD3803" w14:textId="248FE0E1" w:rsidR="003E0CED" w:rsidRPr="00877C8A" w:rsidRDefault="00545C2E" w:rsidP="002E64C7">
      <w:pPr>
        <w:pStyle w:val="ListParagraph"/>
        <w:numPr>
          <w:ilvl w:val="0"/>
          <w:numId w:val="5"/>
        </w:numPr>
        <w:spacing w:after="120"/>
      </w:pPr>
      <w:r w:rsidRPr="002E64C7">
        <w:rPr>
          <w:b/>
          <w:bCs/>
          <w:i/>
          <w:iCs/>
        </w:rPr>
        <w:t>Who you know</w:t>
      </w:r>
      <w:r w:rsidRPr="00877C8A">
        <w:t xml:space="preserve"> (e.g. family</w:t>
      </w:r>
      <w:r w:rsidR="00C335DA" w:rsidRPr="00877C8A">
        <w:t>, friends or people in your networks</w:t>
      </w:r>
      <w:r w:rsidRPr="00877C8A">
        <w:t xml:space="preserve"> with maths related qualifications and degrees; people who talk with you about maths-related topics</w:t>
      </w:r>
      <w:r w:rsidR="007254F0" w:rsidRPr="00877C8A">
        <w:t xml:space="preserve">, </w:t>
      </w:r>
      <w:r w:rsidRPr="00877C8A">
        <w:t xml:space="preserve">others who encourage you to engage and/or continue with </w:t>
      </w:r>
      <w:r w:rsidR="003E0CED" w:rsidRPr="00877C8A">
        <w:t>Further Maths</w:t>
      </w:r>
      <w:r w:rsidRPr="00877C8A">
        <w:t>).</w:t>
      </w:r>
    </w:p>
    <w:p w14:paraId="1173BA3B" w14:textId="7A41655A" w:rsidR="003E0CED" w:rsidRPr="00877C8A" w:rsidRDefault="00E402BE" w:rsidP="002E64C7">
      <w:pPr>
        <w:pStyle w:val="ListParagraph"/>
        <w:numPr>
          <w:ilvl w:val="0"/>
          <w:numId w:val="5"/>
        </w:numPr>
        <w:spacing w:after="120"/>
      </w:pPr>
      <w:r w:rsidRPr="002E64C7">
        <w:rPr>
          <w:b/>
          <w:bCs/>
          <w:i/>
          <w:iCs/>
        </w:rPr>
        <w:t>Access to support and provision from education organisations</w:t>
      </w:r>
      <w:r w:rsidR="003E0CED" w:rsidRPr="00877C8A">
        <w:t xml:space="preserve"> (</w:t>
      </w:r>
      <w:r w:rsidR="00FB047E" w:rsidRPr="00877C8A">
        <w:t>e.g.,</w:t>
      </w:r>
      <w:r w:rsidRPr="00877C8A">
        <w:t xml:space="preserve"> availability of Further Maths courses and teachers at school, positive maths culture at school, additional support to aid students to attain high</w:t>
      </w:r>
      <w:r w:rsidR="005C5552" w:rsidRPr="00877C8A">
        <w:t>er grades</w:t>
      </w:r>
      <w:r w:rsidR="003E0CED" w:rsidRPr="00877C8A">
        <w:t>).</w:t>
      </w:r>
    </w:p>
    <w:p w14:paraId="496DA781" w14:textId="6A796666" w:rsidR="002A435F" w:rsidRPr="00877C8A" w:rsidRDefault="1BFB8814" w:rsidP="00C335DA">
      <w:pPr>
        <w:spacing w:after="120"/>
      </w:pPr>
      <w:r>
        <w:t>“</w:t>
      </w:r>
      <w:r w:rsidR="7A336753">
        <w:t>Mathematics opens doors (Noyes, 2016).</w:t>
      </w:r>
      <w:r>
        <w:t>”</w:t>
      </w:r>
      <w:r w:rsidR="7A336753">
        <w:t xml:space="preserve"> However, not all students are given equal opportunities to access high-level mathematics qualifications and subsequently </w:t>
      </w:r>
      <w:r w:rsidR="49572B51">
        <w:t>high-status</w:t>
      </w:r>
      <w:r w:rsidR="7A336753">
        <w:t xml:space="preserve"> commercial, technological and scientific careers. </w:t>
      </w:r>
      <w:r w:rsidR="026ABC36">
        <w:t xml:space="preserve">When students </w:t>
      </w:r>
      <w:r w:rsidR="49572B51">
        <w:t>have</w:t>
      </w:r>
      <w:r w:rsidR="026ABC36">
        <w:t xml:space="preserve"> high Further Maths capital</w:t>
      </w:r>
      <w:r w:rsidR="49572B51">
        <w:t xml:space="preserve"> (i.e. </w:t>
      </w:r>
      <w:r w:rsidR="7F835838">
        <w:t xml:space="preserve">have been </w:t>
      </w:r>
      <w:r w:rsidR="49572B51">
        <w:t>given a ‘good hand’ of maths related resources</w:t>
      </w:r>
      <w:r w:rsidR="026ABC36">
        <w:t xml:space="preserve">) and </w:t>
      </w:r>
      <w:r w:rsidR="14337691">
        <w:t xml:space="preserve">have </w:t>
      </w:r>
      <w:r w:rsidR="026ABC36">
        <w:t>developed Further Maths habitus (i.e.</w:t>
      </w:r>
      <w:r w:rsidR="4388ADFB">
        <w:t xml:space="preserve"> </w:t>
      </w:r>
      <w:r w:rsidR="14337691">
        <w:t xml:space="preserve">they </w:t>
      </w:r>
      <w:r w:rsidR="4388ADFB">
        <w:t xml:space="preserve">‘just know’ how to </w:t>
      </w:r>
      <w:r w:rsidR="008DAB07">
        <w:t>carry on</w:t>
      </w:r>
      <w:r w:rsidR="4F2013C5">
        <w:t xml:space="preserve"> and feel at ease</w:t>
      </w:r>
      <w:r w:rsidR="4388ADFB">
        <w:t xml:space="preserve"> in </w:t>
      </w:r>
      <w:r w:rsidR="008DAB07">
        <w:t xml:space="preserve">a </w:t>
      </w:r>
      <w:r w:rsidR="4388ADFB">
        <w:t xml:space="preserve">Further Maths classroom), they would be more likely to participate and succeed in Further Maths </w:t>
      </w:r>
      <w:r w:rsidR="108D3675">
        <w:t>A-level</w:t>
      </w:r>
      <w:r w:rsidR="4388ADFB">
        <w:t xml:space="preserve">. </w:t>
      </w:r>
      <w:r w:rsidR="2BAA71B0">
        <w:t xml:space="preserve">When more students are given the option to choose Further Maths, they are given opportunities to pursue STEM or other numeric degrees or careers. Performing well at Further Maths is also known to ease the transition from </w:t>
      </w:r>
      <w:r w:rsidR="108D3675">
        <w:t>A-level</w:t>
      </w:r>
      <w:r w:rsidR="2BAA71B0">
        <w:t xml:space="preserve"> into a range of STEM degree courses, setting up students to succeed and </w:t>
      </w:r>
      <w:r w:rsidR="4B1A3B4C">
        <w:t xml:space="preserve">potentially </w:t>
      </w:r>
      <w:r w:rsidR="2BAA71B0">
        <w:t>lessen the existing attainment gap</w:t>
      </w:r>
      <w:r w:rsidR="05896A3F">
        <w:t xml:space="preserve"> between White British and BAME students</w:t>
      </w:r>
      <w:r w:rsidR="4B1A3B4C">
        <w:t xml:space="preserve"> at university</w:t>
      </w:r>
      <w:r w:rsidR="2BAA71B0">
        <w:t xml:space="preserve">. </w:t>
      </w:r>
      <w:r w:rsidR="1A4568CE">
        <w:t xml:space="preserve">Ultimately, the unequal access to Further Maths </w:t>
      </w:r>
      <w:r w:rsidR="1039F581">
        <w:t>is strongly linked to structural issues in the wider education system.</w:t>
      </w:r>
      <w:r w:rsidR="1A4568CE">
        <w:t xml:space="preserve"> </w:t>
      </w:r>
      <w:r w:rsidR="1039F581">
        <w:t>However, t</w:t>
      </w:r>
      <w:r w:rsidR="4F2013C5">
        <w:t xml:space="preserve">here are </w:t>
      </w:r>
      <w:proofErr w:type="gramStart"/>
      <w:r w:rsidR="1A4568CE">
        <w:t>a number of</w:t>
      </w:r>
      <w:proofErr w:type="gramEnd"/>
      <w:r w:rsidR="1A4568CE">
        <w:t xml:space="preserve"> </w:t>
      </w:r>
      <w:r w:rsidR="4F2013C5">
        <w:t xml:space="preserve">things </w:t>
      </w:r>
      <w:r w:rsidR="0C6DDAA9">
        <w:t>university outreach departments can do</w:t>
      </w:r>
      <w:r w:rsidR="4F2013C5">
        <w:t xml:space="preserve"> to </w:t>
      </w:r>
      <w:r w:rsidR="6A3D60F2">
        <w:t>support</w:t>
      </w:r>
      <w:r w:rsidR="1A4568CE">
        <w:t xml:space="preserve"> students</w:t>
      </w:r>
      <w:r w:rsidR="6A3D60F2">
        <w:t xml:space="preserve"> </w:t>
      </w:r>
      <w:r w:rsidR="6A3D60F2">
        <w:lastRenderedPageBreak/>
        <w:t xml:space="preserve">from </w:t>
      </w:r>
      <w:r w:rsidR="2EF13ED1">
        <w:t>under-served communities</w:t>
      </w:r>
      <w:r w:rsidR="1A4568CE">
        <w:t xml:space="preserve"> to</w:t>
      </w:r>
      <w:r w:rsidR="4F2013C5">
        <w:t xml:space="preserve"> build Further Maths capital and </w:t>
      </w:r>
      <w:r w:rsidR="6C31BA59">
        <w:t xml:space="preserve">to </w:t>
      </w:r>
      <w:r w:rsidR="4F2013C5">
        <w:t>develop a Further Maths habitus to enable them to engage and succeed in the subject</w:t>
      </w:r>
      <w:r w:rsidR="49572B51">
        <w:t xml:space="preserve"> and beyond</w:t>
      </w:r>
      <w:r w:rsidR="4F2013C5">
        <w:t>.</w:t>
      </w:r>
    </w:p>
    <w:p w14:paraId="0EFE59E5" w14:textId="12CAC007" w:rsidR="006F31D1" w:rsidRPr="00CC73B7" w:rsidRDefault="001A4F2A" w:rsidP="009F3663">
      <w:pPr>
        <w:pStyle w:val="Heading1"/>
        <w:rPr>
          <w:rFonts w:ascii="Arial" w:hAnsi="Arial" w:cs="Arial"/>
          <w:b/>
          <w:bCs/>
        </w:rPr>
      </w:pPr>
      <w:bookmarkStart w:id="20" w:name="_Toc141256547"/>
      <w:r w:rsidRPr="00CC73B7">
        <w:rPr>
          <w:rFonts w:ascii="Arial" w:hAnsi="Arial" w:cs="Arial"/>
          <w:b/>
          <w:bCs/>
        </w:rPr>
        <w:t>Project conclusions and recommendations</w:t>
      </w:r>
      <w:bookmarkEnd w:id="20"/>
    </w:p>
    <w:tbl>
      <w:tblPr>
        <w:tblStyle w:val="TableGrid"/>
        <w:tblW w:w="0" w:type="auto"/>
        <w:tblCellMar>
          <w:top w:w="57" w:type="dxa"/>
          <w:bottom w:w="57" w:type="dxa"/>
        </w:tblCellMar>
        <w:tblLook w:val="04A0" w:firstRow="1" w:lastRow="0" w:firstColumn="1" w:lastColumn="0" w:noHBand="0" w:noVBand="1"/>
      </w:tblPr>
      <w:tblGrid>
        <w:gridCol w:w="4956"/>
        <w:gridCol w:w="4956"/>
      </w:tblGrid>
      <w:tr w:rsidR="009C3B9F" w:rsidRPr="007F6C3B" w14:paraId="01DE8857" w14:textId="77777777" w:rsidTr="6379EAC4">
        <w:trPr>
          <w:tblHeader/>
        </w:trPr>
        <w:tc>
          <w:tcPr>
            <w:tcW w:w="4956" w:type="dxa"/>
            <w:shd w:val="clear" w:color="auto" w:fill="002147"/>
          </w:tcPr>
          <w:p w14:paraId="4B2E4DF5" w14:textId="43653AEE" w:rsidR="00A73960" w:rsidRPr="002840FF" w:rsidRDefault="0074074F" w:rsidP="00A73960">
            <w:pPr>
              <w:rPr>
                <w:b/>
                <w:bCs/>
              </w:rPr>
            </w:pPr>
            <w:r w:rsidRPr="002840FF">
              <w:rPr>
                <w:b/>
                <w:bCs/>
              </w:rPr>
              <w:t>Conclusion</w:t>
            </w:r>
          </w:p>
        </w:tc>
        <w:tc>
          <w:tcPr>
            <w:tcW w:w="4956" w:type="dxa"/>
            <w:shd w:val="clear" w:color="auto" w:fill="002147"/>
          </w:tcPr>
          <w:p w14:paraId="4A719143" w14:textId="3E2BCD2A" w:rsidR="00A73960" w:rsidRPr="002840FF" w:rsidRDefault="00A73960" w:rsidP="00A73960">
            <w:pPr>
              <w:rPr>
                <w:b/>
                <w:bCs/>
              </w:rPr>
            </w:pPr>
            <w:r w:rsidRPr="002840FF">
              <w:rPr>
                <w:b/>
                <w:bCs/>
              </w:rPr>
              <w:t>Recommendation</w:t>
            </w:r>
          </w:p>
        </w:tc>
      </w:tr>
      <w:tr w:rsidR="009C3B9F" w:rsidRPr="007F6C3B" w14:paraId="0CAF2094" w14:textId="77777777" w:rsidTr="6379EAC4">
        <w:tc>
          <w:tcPr>
            <w:tcW w:w="4956" w:type="dxa"/>
          </w:tcPr>
          <w:p w14:paraId="512132A4" w14:textId="5D418D5C" w:rsidR="00A02088" w:rsidRPr="002840FF" w:rsidRDefault="005C5552" w:rsidP="00A73960">
            <w:pPr>
              <w:rPr>
                <w:b/>
                <w:bCs/>
              </w:rPr>
            </w:pPr>
            <w:r w:rsidRPr="002840FF">
              <w:rPr>
                <w:b/>
                <w:bCs/>
              </w:rPr>
              <w:t>P</w:t>
            </w:r>
            <w:r w:rsidR="00F531E7" w:rsidRPr="002840FF">
              <w:rPr>
                <w:b/>
                <w:bCs/>
              </w:rPr>
              <w:t>rior/GCSE attainment</w:t>
            </w:r>
            <w:r w:rsidRPr="002840FF">
              <w:rPr>
                <w:b/>
                <w:bCs/>
              </w:rPr>
              <w:t xml:space="preserve"> </w:t>
            </w:r>
            <w:r w:rsidR="00B1317F" w:rsidRPr="002840FF">
              <w:rPr>
                <w:b/>
                <w:bCs/>
              </w:rPr>
              <w:t>is</w:t>
            </w:r>
            <w:r w:rsidRPr="002840FF">
              <w:rPr>
                <w:b/>
                <w:bCs/>
              </w:rPr>
              <w:t xml:space="preserve"> a strong predictor for participation in Further Maths </w:t>
            </w:r>
            <w:r w:rsidR="0044601E" w:rsidRPr="002840FF">
              <w:rPr>
                <w:b/>
                <w:bCs/>
              </w:rPr>
              <w:t>A-level</w:t>
            </w:r>
            <w:r w:rsidRPr="002840FF">
              <w:rPr>
                <w:b/>
                <w:bCs/>
              </w:rPr>
              <w:t xml:space="preserve"> and future attainment</w:t>
            </w:r>
          </w:p>
        </w:tc>
        <w:tc>
          <w:tcPr>
            <w:tcW w:w="4956" w:type="dxa"/>
          </w:tcPr>
          <w:p w14:paraId="634483DD" w14:textId="77777777" w:rsidR="00A73960" w:rsidRPr="002840FF" w:rsidRDefault="005C5552" w:rsidP="00A73960">
            <w:r w:rsidRPr="002840FF">
              <w:t>Support to raise prior/GCSE maths attainment</w:t>
            </w:r>
            <w:r w:rsidR="00F406F2" w:rsidRPr="002840FF">
              <w:t xml:space="preserve"> (i.e.</w:t>
            </w:r>
            <w:r w:rsidR="00813095" w:rsidRPr="002840FF">
              <w:t xml:space="preserve"> </w:t>
            </w:r>
            <w:r w:rsidR="00F406F2" w:rsidRPr="002840FF">
              <w:t>improve mathematical knowledge, develop skills to tackle complex problems</w:t>
            </w:r>
            <w:r w:rsidR="00813095" w:rsidRPr="002840FF">
              <w:t>, improve students’ confidence and enjoyment in maths</w:t>
            </w:r>
            <w:r w:rsidR="00F406F2" w:rsidRPr="002840FF">
              <w:t>)</w:t>
            </w:r>
            <w:r w:rsidR="0062060B" w:rsidRPr="002840FF">
              <w:t xml:space="preserve"> to give more students the option to choose Further Maths</w:t>
            </w:r>
            <w:r w:rsidR="001A4F2A" w:rsidRPr="002840FF">
              <w:t>.</w:t>
            </w:r>
          </w:p>
          <w:p w14:paraId="14ED788F" w14:textId="77777777" w:rsidR="001A4F2A" w:rsidRPr="002840FF" w:rsidRDefault="001A4F2A" w:rsidP="00A73960"/>
          <w:p w14:paraId="01A0B0E6" w14:textId="28F1BA0E" w:rsidR="001A4F2A" w:rsidRPr="002840FF" w:rsidRDefault="001A4F2A" w:rsidP="00A73960">
            <w:r w:rsidRPr="002840FF">
              <w:t xml:space="preserve">This is particularly the case for </w:t>
            </w:r>
            <w:r w:rsidR="009157EC" w:rsidRPr="002840FF">
              <w:t>socially/</w:t>
            </w:r>
            <w:proofErr w:type="gramStart"/>
            <w:r w:rsidR="009157EC" w:rsidRPr="002840FF">
              <w:t xml:space="preserve">economically </w:t>
            </w:r>
            <w:r w:rsidRPr="002840FF">
              <w:t>disadvantaged</w:t>
            </w:r>
            <w:proofErr w:type="gramEnd"/>
            <w:r w:rsidRPr="002840FF">
              <w:t xml:space="preserve"> pupils with high prior attainment levels, where achieving a top grade at GCSE could greatly affect their chance of progressing to Further Maths.</w:t>
            </w:r>
          </w:p>
        </w:tc>
      </w:tr>
      <w:tr w:rsidR="009C3B9F" w:rsidRPr="007F6C3B" w14:paraId="6664A220" w14:textId="77777777" w:rsidTr="6379EAC4">
        <w:tc>
          <w:tcPr>
            <w:tcW w:w="4956" w:type="dxa"/>
          </w:tcPr>
          <w:p w14:paraId="613E9603" w14:textId="3590CDBB" w:rsidR="008318F7" w:rsidRPr="002840FF" w:rsidRDefault="0066398A" w:rsidP="00A73960">
            <w:pPr>
              <w:rPr>
                <w:b/>
                <w:bCs/>
              </w:rPr>
            </w:pPr>
            <w:r w:rsidRPr="002840FF">
              <w:rPr>
                <w:b/>
                <w:bCs/>
              </w:rPr>
              <w:t xml:space="preserve">The prospect of studying </w:t>
            </w:r>
            <w:r w:rsidR="00CB7AE8" w:rsidRPr="002840FF">
              <w:rPr>
                <w:b/>
                <w:bCs/>
              </w:rPr>
              <w:t xml:space="preserve">Further Maths is not </w:t>
            </w:r>
            <w:r w:rsidRPr="002840FF">
              <w:rPr>
                <w:b/>
                <w:bCs/>
              </w:rPr>
              <w:t>positively</w:t>
            </w:r>
            <w:r w:rsidR="00CB7AE8" w:rsidRPr="002840FF">
              <w:rPr>
                <w:b/>
                <w:bCs/>
              </w:rPr>
              <w:t xml:space="preserve"> perceived or </w:t>
            </w:r>
            <w:r w:rsidRPr="002840FF">
              <w:rPr>
                <w:b/>
                <w:bCs/>
              </w:rPr>
              <w:t xml:space="preserve">well </w:t>
            </w:r>
            <w:r w:rsidR="00CB7AE8" w:rsidRPr="002840FF">
              <w:rPr>
                <w:b/>
                <w:bCs/>
              </w:rPr>
              <w:t>understood</w:t>
            </w:r>
            <w:r w:rsidRPr="002840FF">
              <w:rPr>
                <w:b/>
                <w:bCs/>
              </w:rPr>
              <w:t xml:space="preserve"> by many</w:t>
            </w:r>
            <w:r w:rsidR="00CB7AE8" w:rsidRPr="002840FF">
              <w:rPr>
                <w:b/>
                <w:bCs/>
              </w:rPr>
              <w:t xml:space="preserve">, and some </w:t>
            </w:r>
            <w:r w:rsidRPr="002840FF">
              <w:rPr>
                <w:b/>
                <w:bCs/>
              </w:rPr>
              <w:t xml:space="preserve">high attaining </w:t>
            </w:r>
            <w:r w:rsidR="00CB7AE8" w:rsidRPr="002840FF">
              <w:rPr>
                <w:b/>
                <w:bCs/>
              </w:rPr>
              <w:t xml:space="preserve">students </w:t>
            </w:r>
            <w:r w:rsidR="00E167A4" w:rsidRPr="002840FF">
              <w:rPr>
                <w:b/>
                <w:bCs/>
              </w:rPr>
              <w:t xml:space="preserve">might </w:t>
            </w:r>
            <w:r w:rsidR="00CB7AE8" w:rsidRPr="002840FF">
              <w:rPr>
                <w:b/>
                <w:bCs/>
              </w:rPr>
              <w:t>view it as too challenging</w:t>
            </w:r>
          </w:p>
        </w:tc>
        <w:tc>
          <w:tcPr>
            <w:tcW w:w="4956" w:type="dxa"/>
          </w:tcPr>
          <w:p w14:paraId="390DEDB2" w14:textId="1D929D6C" w:rsidR="008318F7" w:rsidRPr="002840FF" w:rsidRDefault="00CB7AE8" w:rsidP="00A73960">
            <w:r w:rsidRPr="002840FF">
              <w:t>Most students do not have access to GCSE Further Maths or Statistics</w:t>
            </w:r>
            <w:r w:rsidR="0066398A" w:rsidRPr="002840FF">
              <w:t xml:space="preserve"> courses</w:t>
            </w:r>
            <w:r w:rsidR="001A4F2A" w:rsidRPr="002840FF">
              <w:t>.</w:t>
            </w:r>
            <w:r w:rsidR="0066398A" w:rsidRPr="002840FF">
              <w:t xml:space="preserve"> Further Maths taster</w:t>
            </w:r>
            <w:r w:rsidR="00F406F2" w:rsidRPr="002840FF">
              <w:t xml:space="preserve"> sessions </w:t>
            </w:r>
            <w:r w:rsidR="0066398A" w:rsidRPr="002840FF">
              <w:t xml:space="preserve">or more information about studying Further Maths </w:t>
            </w:r>
            <w:r w:rsidR="0044601E" w:rsidRPr="002840FF">
              <w:t>A-level</w:t>
            </w:r>
            <w:r w:rsidR="0066398A" w:rsidRPr="002840FF">
              <w:t xml:space="preserve">s </w:t>
            </w:r>
            <w:r w:rsidR="00813095" w:rsidRPr="002840FF">
              <w:t xml:space="preserve">(e.g. </w:t>
            </w:r>
            <w:r w:rsidR="00B16E5E" w:rsidRPr="002840FF">
              <w:t>i</w:t>
            </w:r>
            <w:r w:rsidR="00813095" w:rsidRPr="002840FF">
              <w:t xml:space="preserve">n-school and extra-curricular activities/ programmes) </w:t>
            </w:r>
            <w:r w:rsidR="0066398A" w:rsidRPr="002840FF">
              <w:t xml:space="preserve">would be useful to </w:t>
            </w:r>
            <w:r w:rsidR="00813095" w:rsidRPr="002840FF">
              <w:t>help student</w:t>
            </w:r>
            <w:r w:rsidR="00EB1A86" w:rsidRPr="002840FF">
              <w:t>s</w:t>
            </w:r>
            <w:r w:rsidR="00813095" w:rsidRPr="002840FF">
              <w:t xml:space="preserve"> to </w:t>
            </w:r>
            <w:r w:rsidR="0066398A" w:rsidRPr="002840FF">
              <w:t>make informed decisions</w:t>
            </w:r>
            <w:r w:rsidR="0085006B" w:rsidRPr="002840FF">
              <w:t xml:space="preserve"> – students can evaluate their interest in the topics they would meet at A-level and to experience the challenge and success with this material </w:t>
            </w:r>
            <w:proofErr w:type="gramStart"/>
            <w:r w:rsidR="0085006B" w:rsidRPr="002840FF">
              <w:t>in order to</w:t>
            </w:r>
            <w:proofErr w:type="gramEnd"/>
            <w:r w:rsidR="0085006B" w:rsidRPr="002840FF">
              <w:t xml:space="preserve"> reduce the perceived risk of committing to a difficult A-level subject</w:t>
            </w:r>
            <w:r w:rsidR="001A4F2A" w:rsidRPr="002840FF">
              <w:t>.</w:t>
            </w:r>
          </w:p>
        </w:tc>
      </w:tr>
      <w:tr w:rsidR="00E167A4" w:rsidRPr="007F6C3B" w14:paraId="3CFAE961" w14:textId="77777777" w:rsidTr="6379EAC4">
        <w:tc>
          <w:tcPr>
            <w:tcW w:w="4956" w:type="dxa"/>
          </w:tcPr>
          <w:p w14:paraId="37D81ECE" w14:textId="75632A1C" w:rsidR="00E167A4" w:rsidRPr="002840FF" w:rsidRDefault="00E167A4" w:rsidP="00A73960">
            <w:pPr>
              <w:rPr>
                <w:b/>
                <w:bCs/>
              </w:rPr>
            </w:pPr>
            <w:r w:rsidRPr="002840FF">
              <w:rPr>
                <w:b/>
                <w:bCs/>
              </w:rPr>
              <w:t>There is a gender bias with fewer girls taking Further Maths</w:t>
            </w:r>
          </w:p>
        </w:tc>
        <w:tc>
          <w:tcPr>
            <w:tcW w:w="4956" w:type="dxa"/>
          </w:tcPr>
          <w:p w14:paraId="5D4ABB85" w14:textId="6D218C2A" w:rsidR="00E167A4" w:rsidRPr="002840FF" w:rsidRDefault="00B44E66" w:rsidP="00B44E66">
            <w:r w:rsidRPr="002840FF">
              <w:t>F</w:t>
            </w:r>
            <w:r w:rsidR="00B16E5E" w:rsidRPr="002840FF">
              <w:t>oster inclusive teaching and learning</w:t>
            </w:r>
            <w:r w:rsidRPr="002840FF">
              <w:t xml:space="preserve"> to help tackle gender and other bias in maths and STEM in general (e.g. </w:t>
            </w:r>
            <w:r w:rsidR="0073745B" w:rsidRPr="002840FF">
              <w:t xml:space="preserve">meaningful </w:t>
            </w:r>
            <w:r w:rsidRPr="002840FF">
              <w:t>representation</w:t>
            </w:r>
            <w:r w:rsidR="0073745B" w:rsidRPr="002840FF">
              <w:t xml:space="preserve"> of women and girls and people from other underrepresented groups in curricula, educators, and role models)</w:t>
            </w:r>
            <w:r w:rsidR="0085006B" w:rsidRPr="002840FF">
              <w:t>; support students in developing a more accurate match between performance and maths self-concept</w:t>
            </w:r>
            <w:r w:rsidR="001A4F2A" w:rsidRPr="002840FF">
              <w:t>.</w:t>
            </w:r>
          </w:p>
          <w:p w14:paraId="79228951" w14:textId="71A18A7C" w:rsidR="0085006B" w:rsidRPr="002840FF" w:rsidRDefault="0085006B" w:rsidP="00B44E66"/>
        </w:tc>
      </w:tr>
      <w:tr w:rsidR="00F406F2" w:rsidRPr="007F6C3B" w14:paraId="215D7C12" w14:textId="77777777" w:rsidTr="6379EAC4">
        <w:tc>
          <w:tcPr>
            <w:tcW w:w="4956" w:type="dxa"/>
          </w:tcPr>
          <w:p w14:paraId="5C6B9253" w14:textId="4A8F5170" w:rsidR="00F406F2" w:rsidRPr="002840FF" w:rsidRDefault="002F3A2C" w:rsidP="00A73960">
            <w:pPr>
              <w:rPr>
                <w:b/>
                <w:bCs/>
              </w:rPr>
            </w:pPr>
            <w:r w:rsidRPr="002840FF">
              <w:rPr>
                <w:b/>
                <w:bCs/>
              </w:rPr>
              <w:t>Students from school</w:t>
            </w:r>
            <w:r w:rsidR="00792F57" w:rsidRPr="002840FF">
              <w:rPr>
                <w:b/>
                <w:bCs/>
              </w:rPr>
              <w:t>s</w:t>
            </w:r>
            <w:r w:rsidR="00E167A4" w:rsidRPr="002840FF">
              <w:rPr>
                <w:b/>
                <w:bCs/>
              </w:rPr>
              <w:t>/colleges</w:t>
            </w:r>
            <w:r w:rsidRPr="002840FF">
              <w:rPr>
                <w:b/>
                <w:bCs/>
              </w:rPr>
              <w:t xml:space="preserve"> with </w:t>
            </w:r>
            <w:r w:rsidR="00EB1A86" w:rsidRPr="002840FF">
              <w:rPr>
                <w:b/>
                <w:bCs/>
              </w:rPr>
              <w:t>fewer</w:t>
            </w:r>
            <w:r w:rsidRPr="002840FF">
              <w:rPr>
                <w:b/>
                <w:bCs/>
              </w:rPr>
              <w:t xml:space="preserve"> resources</w:t>
            </w:r>
            <w:r w:rsidR="0062060B" w:rsidRPr="002840FF">
              <w:rPr>
                <w:b/>
                <w:bCs/>
              </w:rPr>
              <w:t xml:space="preserve"> (often from more deprived backgrounds) </w:t>
            </w:r>
            <w:r w:rsidRPr="002840FF">
              <w:rPr>
                <w:b/>
                <w:bCs/>
              </w:rPr>
              <w:t xml:space="preserve">receive no or limited support on choosing </w:t>
            </w:r>
            <w:r w:rsidR="0044601E" w:rsidRPr="002840FF">
              <w:rPr>
                <w:b/>
                <w:bCs/>
              </w:rPr>
              <w:t>A-level</w:t>
            </w:r>
            <w:r w:rsidRPr="002840FF">
              <w:rPr>
                <w:b/>
                <w:bCs/>
              </w:rPr>
              <w:t>s and future pathways, as well as preparing for university applications and additional subject specific exams for selective universities</w:t>
            </w:r>
          </w:p>
        </w:tc>
        <w:tc>
          <w:tcPr>
            <w:tcW w:w="4956" w:type="dxa"/>
          </w:tcPr>
          <w:p w14:paraId="5AE3A538" w14:textId="77777777" w:rsidR="00F406F2" w:rsidRPr="002840FF" w:rsidRDefault="0062060B" w:rsidP="00A73960">
            <w:r w:rsidRPr="002840FF">
              <w:t>Provide more</w:t>
            </w:r>
            <w:r w:rsidR="002F3A2C" w:rsidRPr="002840FF">
              <w:t xml:space="preserve"> information on the potential benefits of </w:t>
            </w:r>
            <w:r w:rsidRPr="002840FF">
              <w:t xml:space="preserve">studying Further Maths, including the transferability of the qualifications and </w:t>
            </w:r>
            <w:r w:rsidR="00D15FD2" w:rsidRPr="002840FF">
              <w:t>high-level</w:t>
            </w:r>
            <w:r w:rsidR="00094E22" w:rsidRPr="002840FF">
              <w:t xml:space="preserve"> mathematical </w:t>
            </w:r>
            <w:r w:rsidRPr="002840FF">
              <w:t xml:space="preserve">skills, to students and parents to aid them to make </w:t>
            </w:r>
            <w:r w:rsidR="0073745B" w:rsidRPr="002840FF">
              <w:t>more</w:t>
            </w:r>
            <w:r w:rsidRPr="002840FF">
              <w:t xml:space="preserve"> informed decisions</w:t>
            </w:r>
            <w:r w:rsidR="00094E22" w:rsidRPr="002840FF">
              <w:t xml:space="preserve">; </w:t>
            </w:r>
            <w:r w:rsidR="006A5579" w:rsidRPr="002840FF">
              <w:t>r</w:t>
            </w:r>
            <w:r w:rsidR="00094E22" w:rsidRPr="002840FF">
              <w:t xml:space="preserve">aise awareness of </w:t>
            </w:r>
            <w:r w:rsidR="006A5579" w:rsidRPr="002840FF">
              <w:t xml:space="preserve">subject requirements for the application process and expected mathematical </w:t>
            </w:r>
            <w:r w:rsidR="006A5579" w:rsidRPr="002840FF">
              <w:lastRenderedPageBreak/>
              <w:t>knowledge required in different STEM degree courses</w:t>
            </w:r>
            <w:r w:rsidR="001A4F2A" w:rsidRPr="002840FF">
              <w:t>.</w:t>
            </w:r>
          </w:p>
          <w:p w14:paraId="23393C7B" w14:textId="77777777" w:rsidR="001A4F2A" w:rsidRPr="002840FF" w:rsidRDefault="001A4F2A" w:rsidP="00A73960"/>
          <w:p w14:paraId="25D96DFE" w14:textId="64E79A80" w:rsidR="001A4F2A" w:rsidRPr="002840FF" w:rsidRDefault="001A4F2A" w:rsidP="00A73960">
            <w:r w:rsidRPr="002840FF">
              <w:t>Upskil</w:t>
            </w:r>
            <w:r w:rsidR="005A3368" w:rsidRPr="002840FF">
              <w:t>l</w:t>
            </w:r>
            <w:r w:rsidRPr="002840FF">
              <w:t xml:space="preserve"> teachers and careers advisors particularly in 11 to 16 schools where knowledge about Further Maths and the progression routes it unlocks may be limited.</w:t>
            </w:r>
          </w:p>
        </w:tc>
      </w:tr>
      <w:tr w:rsidR="009C3B9F" w:rsidRPr="007F6C3B" w14:paraId="1E4F8129" w14:textId="77777777" w:rsidTr="6379EAC4">
        <w:tc>
          <w:tcPr>
            <w:tcW w:w="4956" w:type="dxa"/>
          </w:tcPr>
          <w:p w14:paraId="69831837" w14:textId="128A8371" w:rsidR="008318F7" w:rsidRPr="002840FF" w:rsidRDefault="0066398A" w:rsidP="00A73960">
            <w:pPr>
              <w:rPr>
                <w:b/>
                <w:bCs/>
              </w:rPr>
            </w:pPr>
            <w:r w:rsidRPr="002840FF">
              <w:rPr>
                <w:b/>
                <w:bCs/>
              </w:rPr>
              <w:lastRenderedPageBreak/>
              <w:t>Students from schools with a strong maths</w:t>
            </w:r>
            <w:r w:rsidR="00F406F2" w:rsidRPr="002840FF">
              <w:rPr>
                <w:b/>
                <w:bCs/>
              </w:rPr>
              <w:t xml:space="preserve"> </w:t>
            </w:r>
            <w:r w:rsidRPr="002840FF">
              <w:rPr>
                <w:b/>
                <w:bCs/>
              </w:rPr>
              <w:t xml:space="preserve">culture and larger </w:t>
            </w:r>
            <w:r w:rsidR="0044601E" w:rsidRPr="002840FF">
              <w:rPr>
                <w:b/>
                <w:bCs/>
              </w:rPr>
              <w:t>A-level</w:t>
            </w:r>
            <w:r w:rsidRPr="002840FF">
              <w:rPr>
                <w:b/>
                <w:bCs/>
              </w:rPr>
              <w:t xml:space="preserve"> Maths and Further Maths cohorts are more likely to choose and succeed in the subject</w:t>
            </w:r>
          </w:p>
        </w:tc>
        <w:tc>
          <w:tcPr>
            <w:tcW w:w="4956" w:type="dxa"/>
          </w:tcPr>
          <w:p w14:paraId="7FC7B5AA" w14:textId="65E396CD" w:rsidR="352842E1" w:rsidRDefault="352842E1" w:rsidP="6379EAC4">
            <w:r>
              <w:t>Support schools and teachers to increase the organisational Further Maths Capital at school level to improve access (i.e. more support for teacher CPD to enable more offerings of Further Mathematics, more funding to support more provision of Further Maths in lower participation areas).</w:t>
            </w:r>
          </w:p>
          <w:p w14:paraId="4DC58600" w14:textId="77777777" w:rsidR="001A4F2A" w:rsidRPr="002840FF" w:rsidRDefault="001A4F2A" w:rsidP="00A73960"/>
          <w:p w14:paraId="6544DFED" w14:textId="6AFADF4A" w:rsidR="001A4F2A" w:rsidRPr="002840FF" w:rsidRDefault="001A4F2A" w:rsidP="00A73960">
            <w:r w:rsidRPr="002840FF">
              <w:t>Embed maths and the enjoyment and appreciation of maths across the curriculum and school life, not limited to maths lessons.</w:t>
            </w:r>
          </w:p>
        </w:tc>
      </w:tr>
      <w:tr w:rsidR="00813095" w:rsidRPr="007F6C3B" w14:paraId="477B0661" w14:textId="77777777" w:rsidTr="6379EAC4">
        <w:tc>
          <w:tcPr>
            <w:tcW w:w="4956" w:type="dxa"/>
          </w:tcPr>
          <w:p w14:paraId="3BA1A3E6" w14:textId="1355F92A" w:rsidR="00813095" w:rsidRPr="002840FF" w:rsidRDefault="00E167A4" w:rsidP="00A73960">
            <w:pPr>
              <w:rPr>
                <w:b/>
                <w:bCs/>
              </w:rPr>
            </w:pPr>
            <w:r w:rsidRPr="002840FF">
              <w:rPr>
                <w:b/>
                <w:bCs/>
              </w:rPr>
              <w:t>T</w:t>
            </w:r>
            <w:r w:rsidR="00813095" w:rsidRPr="002840FF">
              <w:rPr>
                <w:b/>
                <w:bCs/>
              </w:rPr>
              <w:t xml:space="preserve">here is heavy gatekeeping </w:t>
            </w:r>
            <w:r w:rsidR="003269D1" w:rsidRPr="002840FF">
              <w:rPr>
                <w:b/>
                <w:bCs/>
              </w:rPr>
              <w:t xml:space="preserve">at school/college </w:t>
            </w:r>
            <w:r w:rsidR="00813095" w:rsidRPr="002840FF">
              <w:rPr>
                <w:b/>
                <w:bCs/>
              </w:rPr>
              <w:t>on who can take and continue Further Maths</w:t>
            </w:r>
            <w:r w:rsidRPr="002840FF">
              <w:rPr>
                <w:b/>
                <w:bCs/>
              </w:rPr>
              <w:t xml:space="preserve">; the Further Maths results are more skewed than other subjects </w:t>
            </w:r>
          </w:p>
        </w:tc>
        <w:tc>
          <w:tcPr>
            <w:tcW w:w="4956" w:type="dxa"/>
          </w:tcPr>
          <w:p w14:paraId="1B54E79D" w14:textId="77340F00" w:rsidR="00094E22" w:rsidRPr="002840FF" w:rsidRDefault="00A02088" w:rsidP="00A73960">
            <w:r w:rsidRPr="002840FF">
              <w:t>Facilitate conversations with schools and teacher</w:t>
            </w:r>
            <w:r w:rsidR="00EB1A86" w:rsidRPr="002840FF">
              <w:t>s</w:t>
            </w:r>
            <w:r w:rsidRPr="002840FF">
              <w:t xml:space="preserve"> to challenge</w:t>
            </w:r>
            <w:r w:rsidR="00F54B7E" w:rsidRPr="002840FF">
              <w:t xml:space="preserve"> the less helpful</w:t>
            </w:r>
            <w:r w:rsidRPr="002840FF">
              <w:t xml:space="preserve"> discourse around aspirations, emphasising the importance of high expectations for young people and from their teachers.</w:t>
            </w:r>
          </w:p>
          <w:p w14:paraId="530904ED" w14:textId="77777777" w:rsidR="00A02088" w:rsidRPr="002840FF" w:rsidRDefault="00A02088" w:rsidP="00A73960"/>
          <w:p w14:paraId="43199522" w14:textId="3A0DDE3A" w:rsidR="00813095" w:rsidRPr="002840FF" w:rsidRDefault="00515319" w:rsidP="00A73960">
            <w:r w:rsidRPr="002840FF">
              <w:t>School/college and university to examine their current highly selective policies and practices relating to Further Maths and higher education admissions</w:t>
            </w:r>
            <w:r w:rsidR="00F265EB" w:rsidRPr="002840FF">
              <w:t>.</w:t>
            </w:r>
          </w:p>
        </w:tc>
      </w:tr>
    </w:tbl>
    <w:p w14:paraId="78C7B993" w14:textId="63773B3E" w:rsidR="00E136B1" w:rsidRPr="002D34EB" w:rsidRDefault="003326B4" w:rsidP="00A73960">
      <w:pPr>
        <w:rPr>
          <w:sz w:val="22"/>
          <w:szCs w:val="22"/>
        </w:rPr>
      </w:pPr>
      <w:r w:rsidRPr="002D34EB">
        <w:rPr>
          <w:sz w:val="22"/>
          <w:szCs w:val="22"/>
        </w:rPr>
        <w:br/>
      </w:r>
      <w:r w:rsidR="00E136B1" w:rsidRPr="002D34EB">
        <w:rPr>
          <w:sz w:val="22"/>
          <w:szCs w:val="22"/>
        </w:rPr>
        <w:t>This material is based upon work supported by the Hg Foundation and Imperial College London.</w:t>
      </w:r>
      <w:r w:rsidRPr="002D34EB">
        <w:rPr>
          <w:sz w:val="22"/>
          <w:szCs w:val="22"/>
        </w:rPr>
        <w:t xml:space="preserve"> Please contact </w:t>
      </w:r>
      <w:hyperlink r:id="rId12" w:history="1">
        <w:r w:rsidRPr="002D34EB">
          <w:rPr>
            <w:rStyle w:val="Hyperlink"/>
            <w:sz w:val="22"/>
            <w:szCs w:val="22"/>
          </w:rPr>
          <w:t>outreach@imperial.ac.uk</w:t>
        </w:r>
      </w:hyperlink>
      <w:r w:rsidRPr="002D34EB">
        <w:rPr>
          <w:sz w:val="22"/>
          <w:szCs w:val="22"/>
        </w:rPr>
        <w:t xml:space="preserve"> for further information.</w:t>
      </w:r>
      <w:r w:rsidR="00E136B1" w:rsidRPr="002D34EB">
        <w:rPr>
          <w:sz w:val="22"/>
          <w:szCs w:val="22"/>
        </w:rPr>
        <w:br/>
        <w:t xml:space="preserve">  </w:t>
      </w:r>
      <w:r w:rsidR="00FF0B8F" w:rsidRPr="002D34EB">
        <w:rPr>
          <w:sz w:val="22"/>
          <w:szCs w:val="22"/>
        </w:rPr>
        <w:t xml:space="preserve"> </w:t>
      </w:r>
      <w:r w:rsidR="00E136B1" w:rsidRPr="002D34EB">
        <w:rPr>
          <w:sz w:val="22"/>
          <w:szCs w:val="22"/>
        </w:rPr>
        <w:t xml:space="preserve">  </w:t>
      </w:r>
      <w:r w:rsidR="00FF0B8F" w:rsidRPr="002D34EB">
        <w:rPr>
          <w:sz w:val="22"/>
          <w:szCs w:val="22"/>
        </w:rPr>
        <w:t xml:space="preserve">  </w:t>
      </w:r>
      <w:r w:rsidRPr="002D34EB">
        <w:rPr>
          <w:sz w:val="22"/>
          <w:szCs w:val="22"/>
        </w:rPr>
        <w:t xml:space="preserve"> </w:t>
      </w:r>
      <w:r w:rsidR="00E136B1" w:rsidRPr="002D34EB">
        <w:rPr>
          <w:sz w:val="22"/>
          <w:szCs w:val="22"/>
        </w:rPr>
        <w:t xml:space="preserve">  </w:t>
      </w:r>
    </w:p>
    <w:p w14:paraId="585A769C" w14:textId="77777777" w:rsidR="003C7307" w:rsidRPr="00567ED7" w:rsidRDefault="003C7307" w:rsidP="00567ED7">
      <w:pPr>
        <w:pStyle w:val="Heading1"/>
        <w:rPr>
          <w:rFonts w:ascii="Arial" w:hAnsi="Arial" w:cs="Arial"/>
          <w:b/>
          <w:bCs/>
        </w:rPr>
      </w:pPr>
      <w:bookmarkStart w:id="21" w:name="_Toc141256548"/>
      <w:r w:rsidRPr="00567ED7">
        <w:rPr>
          <w:rFonts w:ascii="Arial" w:hAnsi="Arial" w:cs="Arial"/>
          <w:b/>
          <w:bCs/>
        </w:rPr>
        <w:t>References</w:t>
      </w:r>
      <w:bookmarkEnd w:id="21"/>
    </w:p>
    <w:p w14:paraId="21852DCB" w14:textId="77777777" w:rsidR="003C7307" w:rsidRPr="002D34EB" w:rsidRDefault="003C7307" w:rsidP="0084402F">
      <w:pPr>
        <w:pStyle w:val="ListParagraph"/>
        <w:numPr>
          <w:ilvl w:val="0"/>
          <w:numId w:val="6"/>
        </w:numPr>
        <w:spacing w:after="0" w:line="240" w:lineRule="auto"/>
      </w:pPr>
      <w:r w:rsidRPr="002D34EB">
        <w:t xml:space="preserve">Archer, L., Dawson E., DeWitt, J., Seakins, A. &amp; Wong, B. (2015) “Science capital”: a conceptual, methodological, and empirical argument for extending </w:t>
      </w:r>
      <w:proofErr w:type="spellStart"/>
      <w:r w:rsidRPr="002D34EB">
        <w:t>Bourdieusian</w:t>
      </w:r>
      <w:proofErr w:type="spellEnd"/>
      <w:r w:rsidRPr="002D34EB">
        <w:t xml:space="preserve"> notions of capital beyond the arts. </w:t>
      </w:r>
      <w:r w:rsidRPr="002D34EB">
        <w:rPr>
          <w:i/>
          <w:iCs/>
        </w:rPr>
        <w:t>Journal of Researching Science Teaching</w:t>
      </w:r>
      <w:r w:rsidRPr="002D34EB">
        <w:t>, 52(7), 922-948.</w:t>
      </w:r>
    </w:p>
    <w:p w14:paraId="0D3A8689" w14:textId="77777777" w:rsidR="003C7307" w:rsidRPr="002D34EB" w:rsidRDefault="003C7307" w:rsidP="0084402F">
      <w:pPr>
        <w:pStyle w:val="ListParagraph"/>
        <w:numPr>
          <w:ilvl w:val="0"/>
          <w:numId w:val="6"/>
        </w:numPr>
        <w:spacing w:after="0" w:line="240" w:lineRule="auto"/>
      </w:pPr>
      <w:r w:rsidRPr="002D34EB">
        <w:t xml:space="preserve">Archer, L., </w:t>
      </w:r>
      <w:proofErr w:type="spellStart"/>
      <w:r w:rsidRPr="002D34EB">
        <w:t>Moote</w:t>
      </w:r>
      <w:proofErr w:type="spellEnd"/>
      <w:r w:rsidRPr="002D34EB">
        <w:t xml:space="preserve">, J., &amp; MacLeod, M. (2020). Learning that physics is ‘not for me’: </w:t>
      </w:r>
      <w:r w:rsidRPr="002D34EB">
        <w:rPr>
          <w:i/>
          <w:iCs/>
        </w:rPr>
        <w:t>Pedagogic work and the cultivation of habitus among advanced level physics students</w:t>
      </w:r>
      <w:r w:rsidRPr="002D34EB">
        <w:t xml:space="preserve">, 29 (3), 347-384. </w:t>
      </w:r>
    </w:p>
    <w:p w14:paraId="1947FBAE" w14:textId="77777777" w:rsidR="003C7307" w:rsidRPr="002D34EB" w:rsidRDefault="003C7307" w:rsidP="0084402F">
      <w:pPr>
        <w:pStyle w:val="ListParagraph"/>
        <w:numPr>
          <w:ilvl w:val="0"/>
          <w:numId w:val="6"/>
        </w:numPr>
        <w:spacing w:after="0" w:line="240" w:lineRule="auto"/>
      </w:pPr>
      <w:r w:rsidRPr="002D34EB">
        <w:t xml:space="preserve">Boylan, M., </w:t>
      </w:r>
      <w:proofErr w:type="spellStart"/>
      <w:r w:rsidRPr="002D34EB">
        <w:t>Demack</w:t>
      </w:r>
      <w:proofErr w:type="spellEnd"/>
      <w:r w:rsidRPr="002D34EB">
        <w:t xml:space="preserve">, S., Stevens, A., Coldwell, M., </w:t>
      </w:r>
      <w:proofErr w:type="spellStart"/>
      <w:r w:rsidRPr="002D34EB">
        <w:t>Stiell</w:t>
      </w:r>
      <w:proofErr w:type="spellEnd"/>
      <w:r w:rsidRPr="002D34EB">
        <w:t xml:space="preserve">, B. (2016) </w:t>
      </w:r>
      <w:r w:rsidRPr="002D34EB">
        <w:rPr>
          <w:i/>
          <w:iCs/>
        </w:rPr>
        <w:t>An Evaluation of the Further Mathematics Support Programme: Research Report</w:t>
      </w:r>
      <w:r w:rsidRPr="002D34EB">
        <w:t>. Sheffield Hallam University.</w:t>
      </w:r>
    </w:p>
    <w:p w14:paraId="798F07BE" w14:textId="77777777" w:rsidR="003C7307" w:rsidRPr="002D34EB" w:rsidRDefault="003C7307" w:rsidP="0084402F">
      <w:pPr>
        <w:pStyle w:val="ListParagraph"/>
        <w:numPr>
          <w:ilvl w:val="0"/>
          <w:numId w:val="6"/>
        </w:numPr>
        <w:spacing w:after="0" w:line="240" w:lineRule="auto"/>
      </w:pPr>
      <w:proofErr w:type="spellStart"/>
      <w:r w:rsidRPr="002D34EB">
        <w:t>Demack</w:t>
      </w:r>
      <w:proofErr w:type="spellEnd"/>
      <w:r w:rsidRPr="002D34EB">
        <w:t xml:space="preserve">, S., </w:t>
      </w:r>
      <w:proofErr w:type="spellStart"/>
      <w:r w:rsidRPr="002D34EB">
        <w:t>Reaney</w:t>
      </w:r>
      <w:proofErr w:type="spellEnd"/>
      <w:r w:rsidRPr="002D34EB">
        <w:t xml:space="preserve">-Wood, S., Adams, G., </w:t>
      </w:r>
      <w:proofErr w:type="spellStart"/>
      <w:r w:rsidRPr="002D34EB">
        <w:t>Stiell</w:t>
      </w:r>
      <w:proofErr w:type="spellEnd"/>
      <w:r w:rsidRPr="002D34EB">
        <w:t xml:space="preserve">, B., and </w:t>
      </w:r>
      <w:proofErr w:type="spellStart"/>
      <w:r w:rsidRPr="002D34EB">
        <w:t>Culliney</w:t>
      </w:r>
      <w:proofErr w:type="spellEnd"/>
      <w:r w:rsidRPr="002D34EB">
        <w:t xml:space="preserve">, M. (2019) </w:t>
      </w:r>
      <w:r w:rsidRPr="002D34EB">
        <w:rPr>
          <w:i/>
          <w:iCs/>
        </w:rPr>
        <w:t>Participation and Attainment in A level Mathematics &amp; Further Mathematics</w:t>
      </w:r>
      <w:r w:rsidRPr="002D34EB">
        <w:t>. https://mei.org.uk/reports/participation-and-attainment-in-a-level-mathematics-further-mathematics/</w:t>
      </w:r>
    </w:p>
    <w:p w14:paraId="7F28F370" w14:textId="77777777" w:rsidR="003C7307" w:rsidRPr="002D34EB" w:rsidRDefault="003C7307" w:rsidP="0084402F">
      <w:pPr>
        <w:pStyle w:val="ListParagraph"/>
        <w:numPr>
          <w:ilvl w:val="0"/>
          <w:numId w:val="6"/>
        </w:numPr>
        <w:spacing w:after="0" w:line="240" w:lineRule="auto"/>
      </w:pPr>
      <w:proofErr w:type="spellStart"/>
      <w:r w:rsidRPr="002D34EB">
        <w:t>Hodgen</w:t>
      </w:r>
      <w:proofErr w:type="spellEnd"/>
      <w:r w:rsidRPr="002D34EB">
        <w:t xml:space="preserve">, J., Coe, R., Foster, C., Brown, M., Higgins, S., &amp; </w:t>
      </w:r>
      <w:proofErr w:type="spellStart"/>
      <w:r w:rsidRPr="002D34EB">
        <w:t>Küchemann</w:t>
      </w:r>
      <w:proofErr w:type="spellEnd"/>
      <w:r w:rsidRPr="002D34EB">
        <w:t xml:space="preserve">, D. (2020). </w:t>
      </w:r>
      <w:r w:rsidRPr="002D34EB">
        <w:rPr>
          <w:i/>
          <w:iCs/>
        </w:rPr>
        <w:t>Low attainment in mathematics: An investigation focusing on Year 9 students in England</w:t>
      </w:r>
      <w:r w:rsidRPr="002D34EB">
        <w:t>. Final Report. London: UCL Institute of Education.</w:t>
      </w:r>
    </w:p>
    <w:p w14:paraId="611013C9" w14:textId="77777777" w:rsidR="003C7307" w:rsidRPr="002D34EB" w:rsidRDefault="003C7307" w:rsidP="0084402F">
      <w:pPr>
        <w:pStyle w:val="ListParagraph"/>
        <w:numPr>
          <w:ilvl w:val="0"/>
          <w:numId w:val="6"/>
        </w:numPr>
        <w:spacing w:after="0" w:line="240" w:lineRule="auto"/>
      </w:pPr>
      <w:r w:rsidRPr="002D34EB">
        <w:lastRenderedPageBreak/>
        <w:t>Joint Council for Qualifications (JCQ) (2022). Examination results. https://www.jcq.org.uk/examination-results/</w:t>
      </w:r>
    </w:p>
    <w:p w14:paraId="40D3E8DA" w14:textId="77777777" w:rsidR="003C7307" w:rsidRPr="002D34EB" w:rsidRDefault="003C7307" w:rsidP="0084402F">
      <w:pPr>
        <w:pStyle w:val="ListParagraph"/>
        <w:numPr>
          <w:ilvl w:val="0"/>
          <w:numId w:val="6"/>
        </w:numPr>
        <w:spacing w:after="0" w:line="240" w:lineRule="auto"/>
      </w:pPr>
      <w:r w:rsidRPr="002D34EB">
        <w:t xml:space="preserve">Noyes, A., (2013) The effective mathematics department: adding value and increasing participation? </w:t>
      </w:r>
      <w:r w:rsidRPr="002D34EB">
        <w:rPr>
          <w:i/>
          <w:iCs/>
        </w:rPr>
        <w:t>School Effectiveness and School Improvement: An International Journal of Research, Policy and Practice</w:t>
      </w:r>
      <w:r w:rsidRPr="002D34EB">
        <w:t>. 24(1), 87-103.</w:t>
      </w:r>
    </w:p>
    <w:p w14:paraId="2D487108" w14:textId="3D7CBCE2" w:rsidR="003C7307" w:rsidRPr="002D34EB" w:rsidRDefault="0FE05308" w:rsidP="6379EAC4">
      <w:pPr>
        <w:pStyle w:val="ListParagraph"/>
        <w:numPr>
          <w:ilvl w:val="0"/>
          <w:numId w:val="6"/>
        </w:numPr>
        <w:spacing w:after="0" w:line="240" w:lineRule="auto"/>
      </w:pPr>
      <w:r>
        <w:t xml:space="preserve">Noyes, A. and Adkins, M. (2016) Reconsidering the rise in A-level mathematics participation. </w:t>
      </w:r>
      <w:r w:rsidRPr="6379EAC4">
        <w:rPr>
          <w:i/>
          <w:iCs/>
        </w:rPr>
        <w:t>Teaching Mathematics and its Applications.</w:t>
      </w:r>
      <w:r>
        <w:t xml:space="preserve"> 35(1), 1-13.</w:t>
      </w:r>
    </w:p>
    <w:sectPr w:rsidR="003C7307" w:rsidRPr="002D34EB" w:rsidSect="00F91496">
      <w:type w:val="continuous"/>
      <w:pgSz w:w="11906" w:h="16838"/>
      <w:pgMar w:top="992" w:right="992" w:bottom="99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4270" w14:textId="77777777" w:rsidR="005D3B07" w:rsidRDefault="005D3B07" w:rsidP="0010295D">
      <w:pPr>
        <w:spacing w:after="0" w:line="240" w:lineRule="auto"/>
      </w:pPr>
      <w:r>
        <w:separator/>
      </w:r>
    </w:p>
  </w:endnote>
  <w:endnote w:type="continuationSeparator" w:id="0">
    <w:p w14:paraId="6A8C2BFC" w14:textId="77777777" w:rsidR="005D3B07" w:rsidRDefault="005D3B07" w:rsidP="0010295D">
      <w:pPr>
        <w:spacing w:after="0" w:line="240" w:lineRule="auto"/>
      </w:pPr>
      <w:r>
        <w:continuationSeparator/>
      </w:r>
    </w:p>
  </w:endnote>
  <w:endnote w:type="continuationNotice" w:id="1">
    <w:p w14:paraId="42DFBE00" w14:textId="77777777" w:rsidR="005D47C7" w:rsidRDefault="005D4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26715"/>
      <w:docPartObj>
        <w:docPartGallery w:val="Page Numbers (Bottom of Page)"/>
        <w:docPartUnique/>
      </w:docPartObj>
    </w:sdtPr>
    <w:sdtEndPr>
      <w:rPr>
        <w:noProof/>
      </w:rPr>
    </w:sdtEndPr>
    <w:sdtContent>
      <w:p w14:paraId="65ECC937" w14:textId="2E131C6D" w:rsidR="006F31D1" w:rsidRDefault="006F31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728BB2" w14:textId="70396BE3" w:rsidR="00AC724D" w:rsidRDefault="00AC7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55F6" w14:textId="77777777" w:rsidR="00457CA9" w:rsidRDefault="00457CA9">
    <w:pPr>
      <w:pStyle w:val="Footer"/>
    </w:pPr>
  </w:p>
  <w:p w14:paraId="1C1F06E7" w14:textId="308260E7" w:rsidR="00AC724D" w:rsidRDefault="001A4F2A">
    <w:pPr>
      <w:pStyle w:val="Footer"/>
    </w:pPr>
    <w:r>
      <w:rPr>
        <w:noProof/>
      </w:rPr>
      <mc:AlternateContent>
        <mc:Choice Requires="wps">
          <w:drawing>
            <wp:anchor distT="0" distB="0" distL="114300" distR="114300" simplePos="0" relativeHeight="251658241" behindDoc="0" locked="0" layoutInCell="1" allowOverlap="1" wp14:anchorId="627B4A5C" wp14:editId="0C7BBC6F">
              <wp:simplePos x="0" y="0"/>
              <wp:positionH relativeFrom="column">
                <wp:posOffset>635</wp:posOffset>
              </wp:positionH>
              <wp:positionV relativeFrom="paragraph">
                <wp:posOffset>10332720</wp:posOffset>
              </wp:positionV>
              <wp:extent cx="7559675" cy="360045"/>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360045"/>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w:pict>
            <v:rect w14:anchorId="249C0E98" id="Rectangle 5" o:spid="_x0000_s1026" alt="&quot;&quot;" style="position:absolute;margin-left:.05pt;margin-top:813.6pt;width:595.25pt;height:2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" fillcolor="#002147" stroked="f" strokeweight="1pt"/>
          </w:pict>
        </mc:Fallback>
      </mc:AlternateContent>
    </w:r>
    <w:r>
      <w:rPr>
        <w:noProof/>
      </w:rPr>
      <mc:AlternateContent>
        <mc:Choice Requires="wps">
          <w:drawing>
            <wp:anchor distT="0" distB="0" distL="114300" distR="114300" simplePos="0" relativeHeight="251658240" behindDoc="0" locked="0" layoutInCell="1" allowOverlap="1" wp14:anchorId="71D6EE85" wp14:editId="58C8052F">
              <wp:simplePos x="0" y="0"/>
              <wp:positionH relativeFrom="column">
                <wp:posOffset>635</wp:posOffset>
              </wp:positionH>
              <wp:positionV relativeFrom="paragraph">
                <wp:posOffset>10332720</wp:posOffset>
              </wp:positionV>
              <wp:extent cx="7559675" cy="36004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360045"/>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w:pict>
            <v:rect w14:anchorId="172E8497" id="Rectangle 4" o:spid="_x0000_s1026" alt="&quot;&quot;" style="position:absolute;margin-left:.05pt;margin-top:813.6pt;width:595.2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" fillcolor="#002147"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E68A" w14:textId="77777777" w:rsidR="005D3B07" w:rsidRDefault="005D3B07" w:rsidP="0010295D">
      <w:pPr>
        <w:spacing w:after="0" w:line="240" w:lineRule="auto"/>
      </w:pPr>
      <w:r>
        <w:separator/>
      </w:r>
    </w:p>
  </w:footnote>
  <w:footnote w:type="continuationSeparator" w:id="0">
    <w:p w14:paraId="3828F6EB" w14:textId="77777777" w:rsidR="005D3B07" w:rsidRDefault="005D3B07" w:rsidP="0010295D">
      <w:pPr>
        <w:spacing w:after="0" w:line="240" w:lineRule="auto"/>
      </w:pPr>
      <w:r>
        <w:continuationSeparator/>
      </w:r>
    </w:p>
  </w:footnote>
  <w:footnote w:type="continuationNotice" w:id="1">
    <w:p w14:paraId="3519F139" w14:textId="77777777" w:rsidR="005D47C7" w:rsidRDefault="005D47C7">
      <w:pPr>
        <w:spacing w:after="0" w:line="240" w:lineRule="auto"/>
      </w:pPr>
    </w:p>
  </w:footnote>
  <w:footnote w:id="2">
    <w:p w14:paraId="6B35A3E9" w14:textId="780EDE1D" w:rsidR="007254F0" w:rsidRPr="001A4F2A" w:rsidRDefault="007254F0">
      <w:pPr>
        <w:pStyle w:val="FootnoteText"/>
      </w:pPr>
      <w:r w:rsidRPr="001A4F2A">
        <w:rPr>
          <w:rStyle w:val="FootnoteReference"/>
          <w:sz w:val="18"/>
          <w:szCs w:val="18"/>
        </w:rPr>
        <w:footnoteRef/>
      </w:r>
      <w:r w:rsidRPr="001A4F2A">
        <w:rPr>
          <w:sz w:val="18"/>
          <w:szCs w:val="18"/>
        </w:rPr>
        <w:t xml:space="preserve"> Pierre Bourdieu is a renowned French sociologist and public intellectual who made significant contributions to theorizing the link between education and 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329E" w14:textId="32510DFB" w:rsidR="00AC724D" w:rsidRDefault="006766EF">
    <w:pPr>
      <w:pStyle w:val="Header"/>
    </w:pPr>
    <w:r>
      <w:rPr>
        <w:noProof/>
        <w:sz w:val="16"/>
        <w:szCs w:val="16"/>
      </w:rPr>
      <w:drawing>
        <wp:anchor distT="0" distB="0" distL="114300" distR="114300" simplePos="0" relativeHeight="251658243" behindDoc="0" locked="0" layoutInCell="1" allowOverlap="1" wp14:anchorId="56C23FCD" wp14:editId="0FD18D82">
          <wp:simplePos x="0" y="0"/>
          <wp:positionH relativeFrom="column">
            <wp:posOffset>5676900</wp:posOffset>
          </wp:positionH>
          <wp:positionV relativeFrom="paragraph">
            <wp:posOffset>-125730</wp:posOffset>
          </wp:positionV>
          <wp:extent cx="1046847" cy="548640"/>
          <wp:effectExtent l="0" t="0" r="1270" b="3810"/>
          <wp:wrapNone/>
          <wp:docPr id="6" name="Picture 6" descr="The Hg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Hg Foundati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6847" cy="548640"/>
                  </a:xfrm>
                  <a:prstGeom prst="rect">
                    <a:avLst/>
                  </a:prstGeom>
                </pic:spPr>
              </pic:pic>
            </a:graphicData>
          </a:graphic>
          <wp14:sizeRelH relativeFrom="page">
            <wp14:pctWidth>0</wp14:pctWidth>
          </wp14:sizeRelH>
          <wp14:sizeRelV relativeFrom="page">
            <wp14:pctHeight>0</wp14:pctHeight>
          </wp14:sizeRelV>
        </wp:anchor>
      </w:drawing>
    </w:r>
    <w:r w:rsidR="000A7425">
      <w:rPr>
        <w:noProof/>
        <w:sz w:val="16"/>
        <w:szCs w:val="16"/>
      </w:rPr>
      <w:drawing>
        <wp:inline distT="0" distB="0" distL="0" distR="0" wp14:anchorId="38697168" wp14:editId="028B92E7">
          <wp:extent cx="1303020" cy="341316"/>
          <wp:effectExtent l="0" t="0" r="0" b="1905"/>
          <wp:docPr id="8" name="Picture 8"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perial College London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3020" cy="341316"/>
                  </a:xfrm>
                  <a:prstGeom prst="rect">
                    <a:avLst/>
                  </a:prstGeom>
                </pic:spPr>
              </pic:pic>
            </a:graphicData>
          </a:graphic>
        </wp:inline>
      </w:drawing>
    </w:r>
    <w:r w:rsidR="001A4F2A">
      <w:rPr>
        <w:noProof/>
      </w:rPr>
      <mc:AlternateContent>
        <mc:Choice Requires="wps">
          <w:drawing>
            <wp:anchor distT="0" distB="0" distL="114300" distR="114300" simplePos="0" relativeHeight="251658242" behindDoc="0" locked="0" layoutInCell="1" allowOverlap="1" wp14:anchorId="248DC6FA" wp14:editId="34FFEA30">
              <wp:simplePos x="0" y="0"/>
              <wp:positionH relativeFrom="column">
                <wp:posOffset>635</wp:posOffset>
              </wp:positionH>
              <wp:positionV relativeFrom="paragraph">
                <wp:posOffset>10332720</wp:posOffset>
              </wp:positionV>
              <wp:extent cx="7559675" cy="360045"/>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360045"/>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w:pict>
            <v:rect w14:anchorId="08665CFA" id="Rectangle 7" o:spid="_x0000_s1026" alt="&quot;&quot;" style="position:absolute;margin-left:.05pt;margin-top:813.6pt;width:595.25pt;height:28.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" fillcolor="#002147"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5E1"/>
    <w:multiLevelType w:val="hybridMultilevel"/>
    <w:tmpl w:val="6432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C3551"/>
    <w:multiLevelType w:val="hybridMultilevel"/>
    <w:tmpl w:val="55562600"/>
    <w:lvl w:ilvl="0" w:tplc="534880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05A82"/>
    <w:multiLevelType w:val="hybridMultilevel"/>
    <w:tmpl w:val="DB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9025D6"/>
    <w:multiLevelType w:val="hybridMultilevel"/>
    <w:tmpl w:val="668EC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BE18D6"/>
    <w:multiLevelType w:val="hybridMultilevel"/>
    <w:tmpl w:val="53007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0E6BC6"/>
    <w:multiLevelType w:val="hybridMultilevel"/>
    <w:tmpl w:val="CB0E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F244E"/>
    <w:multiLevelType w:val="hybridMultilevel"/>
    <w:tmpl w:val="33162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1837365">
    <w:abstractNumId w:val="3"/>
  </w:num>
  <w:num w:numId="2" w16cid:durableId="1332681235">
    <w:abstractNumId w:val="2"/>
  </w:num>
  <w:num w:numId="3" w16cid:durableId="1556501428">
    <w:abstractNumId w:val="5"/>
  </w:num>
  <w:num w:numId="4" w16cid:durableId="1791977111">
    <w:abstractNumId w:val="0"/>
  </w:num>
  <w:num w:numId="5" w16cid:durableId="878203373">
    <w:abstractNumId w:val="1"/>
  </w:num>
  <w:num w:numId="6" w16cid:durableId="486022598">
    <w:abstractNumId w:val="6"/>
  </w:num>
  <w:num w:numId="7" w16cid:durableId="1264915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60"/>
    <w:rsid w:val="0003057A"/>
    <w:rsid w:val="00032595"/>
    <w:rsid w:val="00037C2F"/>
    <w:rsid w:val="00063F54"/>
    <w:rsid w:val="00092DEF"/>
    <w:rsid w:val="00094E22"/>
    <w:rsid w:val="00097927"/>
    <w:rsid w:val="000A5030"/>
    <w:rsid w:val="000A72AA"/>
    <w:rsid w:val="000A7425"/>
    <w:rsid w:val="000C428C"/>
    <w:rsid w:val="000D69B8"/>
    <w:rsid w:val="000E16BA"/>
    <w:rsid w:val="000E260C"/>
    <w:rsid w:val="000F4B3F"/>
    <w:rsid w:val="0010295D"/>
    <w:rsid w:val="0011500C"/>
    <w:rsid w:val="0012721A"/>
    <w:rsid w:val="00127ABE"/>
    <w:rsid w:val="001309E4"/>
    <w:rsid w:val="0013449D"/>
    <w:rsid w:val="00135FD1"/>
    <w:rsid w:val="00150034"/>
    <w:rsid w:val="001744F0"/>
    <w:rsid w:val="00183EAB"/>
    <w:rsid w:val="001A4B28"/>
    <w:rsid w:val="001A4F2A"/>
    <w:rsid w:val="001B3B39"/>
    <w:rsid w:val="001B71C4"/>
    <w:rsid w:val="001C1981"/>
    <w:rsid w:val="001C1E37"/>
    <w:rsid w:val="001E0124"/>
    <w:rsid w:val="001F1990"/>
    <w:rsid w:val="001F3411"/>
    <w:rsid w:val="00215D26"/>
    <w:rsid w:val="00227780"/>
    <w:rsid w:val="00244300"/>
    <w:rsid w:val="002620A5"/>
    <w:rsid w:val="002719FD"/>
    <w:rsid w:val="00273A90"/>
    <w:rsid w:val="002756F0"/>
    <w:rsid w:val="00280CD9"/>
    <w:rsid w:val="002840FF"/>
    <w:rsid w:val="00293980"/>
    <w:rsid w:val="002A28BC"/>
    <w:rsid w:val="002A435F"/>
    <w:rsid w:val="002D34EB"/>
    <w:rsid w:val="002E64C7"/>
    <w:rsid w:val="002F0F3D"/>
    <w:rsid w:val="002F3A2C"/>
    <w:rsid w:val="002F3B7E"/>
    <w:rsid w:val="00301EBE"/>
    <w:rsid w:val="00317D31"/>
    <w:rsid w:val="00324608"/>
    <w:rsid w:val="003269D1"/>
    <w:rsid w:val="003275BE"/>
    <w:rsid w:val="00330EB9"/>
    <w:rsid w:val="003326B4"/>
    <w:rsid w:val="003456F8"/>
    <w:rsid w:val="00350E4C"/>
    <w:rsid w:val="00393351"/>
    <w:rsid w:val="003A16A4"/>
    <w:rsid w:val="003B1072"/>
    <w:rsid w:val="003B4BD5"/>
    <w:rsid w:val="003C7307"/>
    <w:rsid w:val="003D2147"/>
    <w:rsid w:val="003D4324"/>
    <w:rsid w:val="003E0CED"/>
    <w:rsid w:val="003E38DC"/>
    <w:rsid w:val="00404749"/>
    <w:rsid w:val="004229DE"/>
    <w:rsid w:val="004271D5"/>
    <w:rsid w:val="0044601E"/>
    <w:rsid w:val="00452F93"/>
    <w:rsid w:val="00453824"/>
    <w:rsid w:val="00457CA9"/>
    <w:rsid w:val="004610FC"/>
    <w:rsid w:val="004812F8"/>
    <w:rsid w:val="004A69FB"/>
    <w:rsid w:val="004C3F50"/>
    <w:rsid w:val="004C5095"/>
    <w:rsid w:val="004E5E4C"/>
    <w:rsid w:val="004F1FBD"/>
    <w:rsid w:val="00503433"/>
    <w:rsid w:val="0050477C"/>
    <w:rsid w:val="00515319"/>
    <w:rsid w:val="005226A3"/>
    <w:rsid w:val="005320AC"/>
    <w:rsid w:val="00537C26"/>
    <w:rsid w:val="005415BA"/>
    <w:rsid w:val="00542C98"/>
    <w:rsid w:val="00545C2E"/>
    <w:rsid w:val="00567ED7"/>
    <w:rsid w:val="00582390"/>
    <w:rsid w:val="005A3368"/>
    <w:rsid w:val="005A34E0"/>
    <w:rsid w:val="005A671C"/>
    <w:rsid w:val="005B3BF0"/>
    <w:rsid w:val="005C4D82"/>
    <w:rsid w:val="005C5552"/>
    <w:rsid w:val="005C6BC9"/>
    <w:rsid w:val="005D3B07"/>
    <w:rsid w:val="005D47C7"/>
    <w:rsid w:val="005E2B33"/>
    <w:rsid w:val="005E3AE8"/>
    <w:rsid w:val="0060506D"/>
    <w:rsid w:val="00613078"/>
    <w:rsid w:val="0062060B"/>
    <w:rsid w:val="00624F76"/>
    <w:rsid w:val="00633B2D"/>
    <w:rsid w:val="006432D3"/>
    <w:rsid w:val="006522F4"/>
    <w:rsid w:val="00652EA5"/>
    <w:rsid w:val="00654719"/>
    <w:rsid w:val="0066398A"/>
    <w:rsid w:val="00672EF1"/>
    <w:rsid w:val="006766EF"/>
    <w:rsid w:val="00687C4D"/>
    <w:rsid w:val="00695B3A"/>
    <w:rsid w:val="00697F05"/>
    <w:rsid w:val="006A5579"/>
    <w:rsid w:val="006B7587"/>
    <w:rsid w:val="006C1DBF"/>
    <w:rsid w:val="006D5A5A"/>
    <w:rsid w:val="006E4F30"/>
    <w:rsid w:val="006E7913"/>
    <w:rsid w:val="006F31D1"/>
    <w:rsid w:val="006F4785"/>
    <w:rsid w:val="00702033"/>
    <w:rsid w:val="0070483E"/>
    <w:rsid w:val="00711DBA"/>
    <w:rsid w:val="00720672"/>
    <w:rsid w:val="007214A9"/>
    <w:rsid w:val="007254F0"/>
    <w:rsid w:val="007361C6"/>
    <w:rsid w:val="0073745B"/>
    <w:rsid w:val="0074074F"/>
    <w:rsid w:val="007478E1"/>
    <w:rsid w:val="00756B79"/>
    <w:rsid w:val="00770601"/>
    <w:rsid w:val="00776691"/>
    <w:rsid w:val="007820C8"/>
    <w:rsid w:val="00792F57"/>
    <w:rsid w:val="007A2D9E"/>
    <w:rsid w:val="007A52A8"/>
    <w:rsid w:val="007B56D4"/>
    <w:rsid w:val="007E578F"/>
    <w:rsid w:val="007E67F4"/>
    <w:rsid w:val="007F4A71"/>
    <w:rsid w:val="007F6C3B"/>
    <w:rsid w:val="00804120"/>
    <w:rsid w:val="00804B0F"/>
    <w:rsid w:val="00813095"/>
    <w:rsid w:val="00814BC1"/>
    <w:rsid w:val="008318F7"/>
    <w:rsid w:val="00835F9E"/>
    <w:rsid w:val="00843616"/>
    <w:rsid w:val="0084402F"/>
    <w:rsid w:val="008446C7"/>
    <w:rsid w:val="0085006B"/>
    <w:rsid w:val="00854A3B"/>
    <w:rsid w:val="00855BD0"/>
    <w:rsid w:val="0086625B"/>
    <w:rsid w:val="0087601B"/>
    <w:rsid w:val="00877C8A"/>
    <w:rsid w:val="008811D3"/>
    <w:rsid w:val="008929A6"/>
    <w:rsid w:val="008A0EC0"/>
    <w:rsid w:val="008D2F8B"/>
    <w:rsid w:val="008D5658"/>
    <w:rsid w:val="008DAB07"/>
    <w:rsid w:val="008F1842"/>
    <w:rsid w:val="00900B89"/>
    <w:rsid w:val="00900D3D"/>
    <w:rsid w:val="0090738F"/>
    <w:rsid w:val="00910B7C"/>
    <w:rsid w:val="00911A60"/>
    <w:rsid w:val="009157EC"/>
    <w:rsid w:val="00920D75"/>
    <w:rsid w:val="00924CA7"/>
    <w:rsid w:val="00937839"/>
    <w:rsid w:val="00944F8A"/>
    <w:rsid w:val="009554AD"/>
    <w:rsid w:val="009662FE"/>
    <w:rsid w:val="00971A14"/>
    <w:rsid w:val="00975C1F"/>
    <w:rsid w:val="009B6FBD"/>
    <w:rsid w:val="009C3388"/>
    <w:rsid w:val="009C3B9F"/>
    <w:rsid w:val="009C4993"/>
    <w:rsid w:val="009C598C"/>
    <w:rsid w:val="009C7B77"/>
    <w:rsid w:val="009D2E9A"/>
    <w:rsid w:val="009D7897"/>
    <w:rsid w:val="009F31B9"/>
    <w:rsid w:val="009F3663"/>
    <w:rsid w:val="00A02088"/>
    <w:rsid w:val="00A0680D"/>
    <w:rsid w:val="00A10B1F"/>
    <w:rsid w:val="00A17515"/>
    <w:rsid w:val="00A2038D"/>
    <w:rsid w:val="00A20BC6"/>
    <w:rsid w:val="00A23654"/>
    <w:rsid w:val="00A24272"/>
    <w:rsid w:val="00A248A3"/>
    <w:rsid w:val="00A4188B"/>
    <w:rsid w:val="00A46FE1"/>
    <w:rsid w:val="00A47AFC"/>
    <w:rsid w:val="00A60B1C"/>
    <w:rsid w:val="00A65A04"/>
    <w:rsid w:val="00A73960"/>
    <w:rsid w:val="00A97DFB"/>
    <w:rsid w:val="00AA1EF2"/>
    <w:rsid w:val="00AA6450"/>
    <w:rsid w:val="00AC10D5"/>
    <w:rsid w:val="00AC296F"/>
    <w:rsid w:val="00AC7207"/>
    <w:rsid w:val="00AC724D"/>
    <w:rsid w:val="00AF51E0"/>
    <w:rsid w:val="00B017ED"/>
    <w:rsid w:val="00B1317F"/>
    <w:rsid w:val="00B16E5E"/>
    <w:rsid w:val="00B17DF7"/>
    <w:rsid w:val="00B30CC3"/>
    <w:rsid w:val="00B44E66"/>
    <w:rsid w:val="00B4744E"/>
    <w:rsid w:val="00B50447"/>
    <w:rsid w:val="00B60E03"/>
    <w:rsid w:val="00B62AE0"/>
    <w:rsid w:val="00B75973"/>
    <w:rsid w:val="00B8152E"/>
    <w:rsid w:val="00B93517"/>
    <w:rsid w:val="00BA29C3"/>
    <w:rsid w:val="00BA378F"/>
    <w:rsid w:val="00BA719C"/>
    <w:rsid w:val="00BC2530"/>
    <w:rsid w:val="00BE5016"/>
    <w:rsid w:val="00BE58A7"/>
    <w:rsid w:val="00BE68A6"/>
    <w:rsid w:val="00C01D37"/>
    <w:rsid w:val="00C04650"/>
    <w:rsid w:val="00C05DCB"/>
    <w:rsid w:val="00C11F73"/>
    <w:rsid w:val="00C32B8E"/>
    <w:rsid w:val="00C335DA"/>
    <w:rsid w:val="00C62F75"/>
    <w:rsid w:val="00C676A2"/>
    <w:rsid w:val="00C755BE"/>
    <w:rsid w:val="00C756E4"/>
    <w:rsid w:val="00C85D7F"/>
    <w:rsid w:val="00CA3CF6"/>
    <w:rsid w:val="00CB083A"/>
    <w:rsid w:val="00CB0CE7"/>
    <w:rsid w:val="00CB7AE8"/>
    <w:rsid w:val="00CC4544"/>
    <w:rsid w:val="00CC73B7"/>
    <w:rsid w:val="00D05BCF"/>
    <w:rsid w:val="00D062C2"/>
    <w:rsid w:val="00D136A0"/>
    <w:rsid w:val="00D15FD2"/>
    <w:rsid w:val="00D1692C"/>
    <w:rsid w:val="00D24CF5"/>
    <w:rsid w:val="00D270CC"/>
    <w:rsid w:val="00D30CCE"/>
    <w:rsid w:val="00D42ADD"/>
    <w:rsid w:val="00D50DB0"/>
    <w:rsid w:val="00D658E4"/>
    <w:rsid w:val="00D715A5"/>
    <w:rsid w:val="00D83831"/>
    <w:rsid w:val="00D854D6"/>
    <w:rsid w:val="00DA6966"/>
    <w:rsid w:val="00DB0B25"/>
    <w:rsid w:val="00DC2E5A"/>
    <w:rsid w:val="00DC5BA1"/>
    <w:rsid w:val="00DD20A6"/>
    <w:rsid w:val="00DD25D0"/>
    <w:rsid w:val="00DD2D05"/>
    <w:rsid w:val="00DD401E"/>
    <w:rsid w:val="00DD5063"/>
    <w:rsid w:val="00E02A96"/>
    <w:rsid w:val="00E04498"/>
    <w:rsid w:val="00E07CC6"/>
    <w:rsid w:val="00E136B1"/>
    <w:rsid w:val="00E15567"/>
    <w:rsid w:val="00E167A4"/>
    <w:rsid w:val="00E2466D"/>
    <w:rsid w:val="00E31479"/>
    <w:rsid w:val="00E402BE"/>
    <w:rsid w:val="00E44D76"/>
    <w:rsid w:val="00E57DBB"/>
    <w:rsid w:val="00E60139"/>
    <w:rsid w:val="00E64A9F"/>
    <w:rsid w:val="00E765A1"/>
    <w:rsid w:val="00E80764"/>
    <w:rsid w:val="00E83CF7"/>
    <w:rsid w:val="00E847DF"/>
    <w:rsid w:val="00E92DD1"/>
    <w:rsid w:val="00EB1A86"/>
    <w:rsid w:val="00EC6A92"/>
    <w:rsid w:val="00ED0280"/>
    <w:rsid w:val="00ED726A"/>
    <w:rsid w:val="00EF6DB0"/>
    <w:rsid w:val="00F14A99"/>
    <w:rsid w:val="00F21607"/>
    <w:rsid w:val="00F265EB"/>
    <w:rsid w:val="00F31C1A"/>
    <w:rsid w:val="00F406F2"/>
    <w:rsid w:val="00F44B80"/>
    <w:rsid w:val="00F531E7"/>
    <w:rsid w:val="00F533CB"/>
    <w:rsid w:val="00F54B7E"/>
    <w:rsid w:val="00F7182A"/>
    <w:rsid w:val="00F76AEB"/>
    <w:rsid w:val="00F82813"/>
    <w:rsid w:val="00F91496"/>
    <w:rsid w:val="00FA39F2"/>
    <w:rsid w:val="00FA55B6"/>
    <w:rsid w:val="00FB047E"/>
    <w:rsid w:val="00FB0D8A"/>
    <w:rsid w:val="00FB1911"/>
    <w:rsid w:val="00FB2DC4"/>
    <w:rsid w:val="00FB5649"/>
    <w:rsid w:val="00FE77DF"/>
    <w:rsid w:val="00FF03EB"/>
    <w:rsid w:val="00FF0B8F"/>
    <w:rsid w:val="00FF2D80"/>
    <w:rsid w:val="00FF370A"/>
    <w:rsid w:val="00FF52A9"/>
    <w:rsid w:val="026ABC36"/>
    <w:rsid w:val="02B13016"/>
    <w:rsid w:val="02B39D9E"/>
    <w:rsid w:val="037452D4"/>
    <w:rsid w:val="04BB4927"/>
    <w:rsid w:val="05896A3F"/>
    <w:rsid w:val="07F33C62"/>
    <w:rsid w:val="0C6DDAA9"/>
    <w:rsid w:val="0FE05308"/>
    <w:rsid w:val="1039F581"/>
    <w:rsid w:val="108D3675"/>
    <w:rsid w:val="127B3A24"/>
    <w:rsid w:val="14337691"/>
    <w:rsid w:val="188951AC"/>
    <w:rsid w:val="1A4568CE"/>
    <w:rsid w:val="1A650AD2"/>
    <w:rsid w:val="1BFB8814"/>
    <w:rsid w:val="1D0D3C0E"/>
    <w:rsid w:val="247E3AC2"/>
    <w:rsid w:val="2BAA71B0"/>
    <w:rsid w:val="2C8E0E96"/>
    <w:rsid w:val="2EF13ED1"/>
    <w:rsid w:val="352842E1"/>
    <w:rsid w:val="3C3E24E0"/>
    <w:rsid w:val="3C734BB3"/>
    <w:rsid w:val="4388ADFB"/>
    <w:rsid w:val="446FD3C6"/>
    <w:rsid w:val="49572B51"/>
    <w:rsid w:val="4B1A3B4C"/>
    <w:rsid w:val="4DDEA9C2"/>
    <w:rsid w:val="4F2013C5"/>
    <w:rsid w:val="58ADEEE3"/>
    <w:rsid w:val="5CD30744"/>
    <w:rsid w:val="5E8BFB50"/>
    <w:rsid w:val="6253AC75"/>
    <w:rsid w:val="6379EAC4"/>
    <w:rsid w:val="661DBC2F"/>
    <w:rsid w:val="66ACA983"/>
    <w:rsid w:val="6742CC0B"/>
    <w:rsid w:val="67B8B3FA"/>
    <w:rsid w:val="6836D96B"/>
    <w:rsid w:val="6A3D60F2"/>
    <w:rsid w:val="6C31BA59"/>
    <w:rsid w:val="7174DF05"/>
    <w:rsid w:val="7A336753"/>
    <w:rsid w:val="7B63DF30"/>
    <w:rsid w:val="7F83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B638"/>
  <w15:docId w15:val="{424CEC1D-5892-43F0-BA01-36D44B0A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960"/>
  </w:style>
  <w:style w:type="paragraph" w:styleId="Heading1">
    <w:name w:val="heading 1"/>
    <w:basedOn w:val="Normal"/>
    <w:next w:val="Normal"/>
    <w:link w:val="Heading1Char"/>
    <w:uiPriority w:val="9"/>
    <w:qFormat/>
    <w:rsid w:val="00AC29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4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44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3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5D7F"/>
    <w:pPr>
      <w:ind w:left="720"/>
      <w:contextualSpacing/>
    </w:pPr>
  </w:style>
  <w:style w:type="paragraph" w:styleId="Header">
    <w:name w:val="header"/>
    <w:basedOn w:val="Normal"/>
    <w:link w:val="HeaderChar"/>
    <w:uiPriority w:val="99"/>
    <w:unhideWhenUsed/>
    <w:rsid w:val="00102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5D"/>
  </w:style>
  <w:style w:type="paragraph" w:styleId="Footer">
    <w:name w:val="footer"/>
    <w:basedOn w:val="Normal"/>
    <w:link w:val="FooterChar"/>
    <w:uiPriority w:val="99"/>
    <w:unhideWhenUsed/>
    <w:rsid w:val="00102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5D"/>
  </w:style>
  <w:style w:type="paragraph" w:styleId="FootnoteText">
    <w:name w:val="footnote text"/>
    <w:basedOn w:val="Normal"/>
    <w:link w:val="FootnoteTextChar"/>
    <w:uiPriority w:val="99"/>
    <w:semiHidden/>
    <w:unhideWhenUsed/>
    <w:rsid w:val="007254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54F0"/>
    <w:rPr>
      <w:sz w:val="20"/>
      <w:szCs w:val="20"/>
    </w:rPr>
  </w:style>
  <w:style w:type="character" w:styleId="FootnoteReference">
    <w:name w:val="footnote reference"/>
    <w:basedOn w:val="DefaultParagraphFont"/>
    <w:uiPriority w:val="99"/>
    <w:semiHidden/>
    <w:unhideWhenUsed/>
    <w:rsid w:val="007254F0"/>
    <w:rPr>
      <w:vertAlign w:val="superscript"/>
    </w:rPr>
  </w:style>
  <w:style w:type="character" w:styleId="Hyperlink">
    <w:name w:val="Hyperlink"/>
    <w:basedOn w:val="DefaultParagraphFont"/>
    <w:uiPriority w:val="99"/>
    <w:unhideWhenUsed/>
    <w:rsid w:val="003326B4"/>
    <w:rPr>
      <w:color w:val="0563C1" w:themeColor="hyperlink"/>
      <w:u w:val="single"/>
    </w:rPr>
  </w:style>
  <w:style w:type="character" w:styleId="UnresolvedMention">
    <w:name w:val="Unresolved Mention"/>
    <w:basedOn w:val="DefaultParagraphFont"/>
    <w:uiPriority w:val="99"/>
    <w:semiHidden/>
    <w:unhideWhenUsed/>
    <w:rsid w:val="003326B4"/>
    <w:rPr>
      <w:color w:val="605E5C"/>
      <w:shd w:val="clear" w:color="auto" w:fill="E1DFDD"/>
    </w:rPr>
  </w:style>
  <w:style w:type="paragraph" w:styleId="Revision">
    <w:name w:val="Revision"/>
    <w:hidden/>
    <w:uiPriority w:val="99"/>
    <w:semiHidden/>
    <w:rsid w:val="00DA6966"/>
    <w:pPr>
      <w:spacing w:after="0" w:line="240" w:lineRule="auto"/>
    </w:pPr>
  </w:style>
  <w:style w:type="character" w:customStyle="1" w:styleId="Heading1Char">
    <w:name w:val="Heading 1 Char"/>
    <w:basedOn w:val="DefaultParagraphFont"/>
    <w:link w:val="Heading1"/>
    <w:uiPriority w:val="9"/>
    <w:rsid w:val="00AC29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4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44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1B3B39"/>
    <w:pPr>
      <w:outlineLvl w:val="9"/>
    </w:pPr>
    <w:rPr>
      <w:lang w:val="en-US"/>
    </w:rPr>
  </w:style>
  <w:style w:type="paragraph" w:styleId="TOC1">
    <w:name w:val="toc 1"/>
    <w:basedOn w:val="Normal"/>
    <w:next w:val="Normal"/>
    <w:autoRedefine/>
    <w:uiPriority w:val="39"/>
    <w:unhideWhenUsed/>
    <w:rsid w:val="001B3B39"/>
    <w:pPr>
      <w:spacing w:after="100"/>
    </w:pPr>
  </w:style>
  <w:style w:type="paragraph" w:styleId="TOC2">
    <w:name w:val="toc 2"/>
    <w:basedOn w:val="Normal"/>
    <w:next w:val="Normal"/>
    <w:autoRedefine/>
    <w:uiPriority w:val="39"/>
    <w:unhideWhenUsed/>
    <w:rsid w:val="001B3B39"/>
    <w:pPr>
      <w:spacing w:after="100"/>
      <w:ind w:left="220"/>
    </w:pPr>
  </w:style>
  <w:style w:type="paragraph" w:styleId="TOC3">
    <w:name w:val="toc 3"/>
    <w:basedOn w:val="Normal"/>
    <w:next w:val="Normal"/>
    <w:autoRedefine/>
    <w:uiPriority w:val="39"/>
    <w:unhideWhenUsed/>
    <w:rsid w:val="001B3B39"/>
    <w:pPr>
      <w:spacing w:after="100"/>
      <w:ind w:left="440"/>
    </w:pPr>
  </w:style>
  <w:style w:type="paragraph" w:styleId="Title">
    <w:name w:val="Title"/>
    <w:basedOn w:val="Normal"/>
    <w:next w:val="Normal"/>
    <w:link w:val="TitleChar"/>
    <w:uiPriority w:val="10"/>
    <w:qFormat/>
    <w:rsid w:val="00457C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D9E"/>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2D9E"/>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8D56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752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utreach@imperia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98D89-EA28-4970-9011-22D1D587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4053</Words>
  <Characters>23106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dc:title>
  <dc:subject/>
  <dc:creator>Mau, Ada</dc:creator>
  <cp:keywords/>
  <dc:description/>
  <cp:lastModifiedBy>Boling, Renee K</cp:lastModifiedBy>
  <cp:revision>7</cp:revision>
  <cp:lastPrinted>2023-01-09T16:07:00Z</cp:lastPrinted>
  <dcterms:created xsi:type="dcterms:W3CDTF">2023-07-26T15:21:00Z</dcterms:created>
  <dcterms:modified xsi:type="dcterms:W3CDTF">2023-07-26T15:29:00Z</dcterms:modified>
</cp:coreProperties>
</file>