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21D96" w14:textId="77777777" w:rsidR="00094352" w:rsidRPr="005A1FF5" w:rsidRDefault="00094352" w:rsidP="00094352">
      <w:pPr>
        <w:pStyle w:val="NoSpacing"/>
        <w:jc w:val="right"/>
        <w:rPr>
          <w:rFonts w:ascii="Arial" w:hAnsi="Arial" w:cs="Arial"/>
          <w:sz w:val="28"/>
          <w:szCs w:val="28"/>
        </w:rPr>
      </w:pPr>
      <w:r w:rsidRPr="005A1FF5">
        <w:rPr>
          <w:rFonts w:ascii="Arial" w:hAnsi="Arial" w:cs="Arial"/>
          <w:noProof/>
          <w:sz w:val="28"/>
          <w:szCs w:val="28"/>
          <w:lang w:eastAsia="en-GB"/>
        </w:rPr>
        <w:drawing>
          <wp:anchor distT="0" distB="0" distL="114300" distR="114300" simplePos="0" relativeHeight="251659264" behindDoc="0" locked="0" layoutInCell="1" allowOverlap="1" wp14:anchorId="245E2B0E" wp14:editId="4BA67AC6">
            <wp:simplePos x="0" y="0"/>
            <wp:positionH relativeFrom="column">
              <wp:posOffset>9525</wp:posOffset>
            </wp:positionH>
            <wp:positionV relativeFrom="paragraph">
              <wp:posOffset>2540</wp:posOffset>
            </wp:positionV>
            <wp:extent cx="1809750" cy="476250"/>
            <wp:effectExtent l="0" t="0" r="0" b="0"/>
            <wp:wrapNone/>
            <wp:docPr id="2" name="Picture 2"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6" cstate="print">
                      <a:lum contrast="42000"/>
                    </a:blip>
                    <a:srcRect/>
                    <a:stretch>
                      <a:fillRect/>
                    </a:stretch>
                  </pic:blipFill>
                  <pic:spPr bwMode="auto">
                    <a:xfrm>
                      <a:off x="0" y="0"/>
                      <a:ext cx="1809750" cy="476250"/>
                    </a:xfrm>
                    <a:prstGeom prst="rect">
                      <a:avLst/>
                    </a:prstGeom>
                    <a:noFill/>
                    <a:ln w="9525">
                      <a:noFill/>
                      <a:miter lim="800000"/>
                      <a:headEnd/>
                      <a:tailEnd/>
                    </a:ln>
                  </pic:spPr>
                </pic:pic>
              </a:graphicData>
            </a:graphic>
          </wp:anchor>
        </w:drawing>
      </w:r>
      <w:r w:rsidRPr="005A1FF5">
        <w:rPr>
          <w:rFonts w:ascii="Arial" w:hAnsi="Arial" w:cs="Arial"/>
          <w:sz w:val="28"/>
          <w:szCs w:val="28"/>
        </w:rPr>
        <w:t xml:space="preserve">Faculty of </w:t>
      </w:r>
      <w:r w:rsidR="00F13303">
        <w:rPr>
          <w:rFonts w:ascii="Arial" w:hAnsi="Arial" w:cs="Arial"/>
          <w:sz w:val="28"/>
          <w:szCs w:val="28"/>
        </w:rPr>
        <w:t>Natural Science</w:t>
      </w:r>
    </w:p>
    <w:p w14:paraId="3535DB9C" w14:textId="77777777" w:rsidR="00F13303" w:rsidRPr="00CC3E74" w:rsidRDefault="00F13303" w:rsidP="00094352">
      <w:pPr>
        <w:jc w:val="center"/>
        <w:rPr>
          <w:b/>
          <w:sz w:val="24"/>
        </w:rPr>
      </w:pPr>
    </w:p>
    <w:p w14:paraId="6E36BA86" w14:textId="77777777" w:rsidR="00094352" w:rsidRPr="00CC3E74" w:rsidRDefault="00094352" w:rsidP="00094352">
      <w:pPr>
        <w:jc w:val="center"/>
        <w:rPr>
          <w:b/>
          <w:sz w:val="24"/>
        </w:rPr>
      </w:pPr>
    </w:p>
    <w:p w14:paraId="449E9220" w14:textId="030F5E06" w:rsidR="00094352" w:rsidRPr="00094352" w:rsidRDefault="00094352" w:rsidP="00094352">
      <w:pPr>
        <w:pBdr>
          <w:bottom w:val="single" w:sz="4" w:space="1" w:color="auto"/>
        </w:pBdr>
        <w:rPr>
          <w:b/>
          <w:sz w:val="28"/>
          <w:szCs w:val="28"/>
        </w:rPr>
      </w:pPr>
      <w:r w:rsidRPr="00094352">
        <w:rPr>
          <w:b/>
          <w:sz w:val="28"/>
          <w:szCs w:val="28"/>
        </w:rPr>
        <w:t xml:space="preserve">Competence Standards for </w:t>
      </w:r>
      <w:r w:rsidR="000F6B44">
        <w:rPr>
          <w:b/>
          <w:sz w:val="28"/>
          <w:szCs w:val="28"/>
        </w:rPr>
        <w:t xml:space="preserve">all </w:t>
      </w:r>
      <w:r w:rsidR="002315F5">
        <w:rPr>
          <w:b/>
          <w:sz w:val="28"/>
          <w:szCs w:val="28"/>
        </w:rPr>
        <w:t xml:space="preserve">MSc </w:t>
      </w:r>
      <w:bookmarkStart w:id="0" w:name="_GoBack"/>
      <w:bookmarkEnd w:id="0"/>
      <w:r w:rsidR="00913F14">
        <w:rPr>
          <w:b/>
          <w:sz w:val="28"/>
          <w:szCs w:val="28"/>
        </w:rPr>
        <w:t>Maths</w:t>
      </w:r>
      <w:r w:rsidR="000F6B44">
        <w:rPr>
          <w:b/>
          <w:sz w:val="28"/>
          <w:szCs w:val="28"/>
        </w:rPr>
        <w:t xml:space="preserve"> Degree Programmes</w:t>
      </w:r>
    </w:p>
    <w:p w14:paraId="1258C1C0" w14:textId="77777777" w:rsidR="00094352" w:rsidRDefault="00094352"/>
    <w:p w14:paraId="6FD378B4" w14:textId="77777777" w:rsidR="00444A4B" w:rsidRDefault="00CC3E74" w:rsidP="00CC3E74">
      <w:r>
        <w:rPr>
          <w:sz w:val="20"/>
        </w:rPr>
        <w:t>The</w:t>
      </w:r>
      <w:r w:rsidRPr="002C0534">
        <w:rPr>
          <w:sz w:val="20"/>
        </w:rPr>
        <w:t xml:space="preserve"> Standards are </w:t>
      </w:r>
      <w:r>
        <w:rPr>
          <w:sz w:val="20"/>
        </w:rPr>
        <w:t xml:space="preserve">broadly </w:t>
      </w:r>
      <w:r w:rsidRPr="002C0534">
        <w:rPr>
          <w:sz w:val="20"/>
        </w:rPr>
        <w:t>mapped to the Appropriate Programme Specification Learning Outcomes (see:</w:t>
      </w:r>
    </w:p>
    <w:p w14:paraId="720D9A58" w14:textId="34B79D03" w:rsidR="00CC3E74" w:rsidRDefault="00444A4B" w:rsidP="00CC3E74">
      <w:pPr>
        <w:rPr>
          <w:sz w:val="20"/>
        </w:rPr>
      </w:pPr>
      <w:hyperlink r:id="rId7" w:history="1">
        <w:r w:rsidRPr="002133E1">
          <w:rPr>
            <w:rStyle w:val="Hyperlink"/>
            <w:sz w:val="20"/>
          </w:rPr>
          <w:t>https://www.imperial.ac.uk/staff/tools-and-reference/quality-assurance-enhancement/programme-information/programme-specifications/</w:t>
        </w:r>
      </w:hyperlink>
      <w:r>
        <w:rPr>
          <w:sz w:val="20"/>
        </w:rPr>
        <w:t xml:space="preserve"> </w:t>
      </w:r>
      <w:r w:rsidR="00CC3E74">
        <w:rPr>
          <w:sz w:val="20"/>
        </w:rPr>
        <w:t>).</w:t>
      </w:r>
    </w:p>
    <w:p w14:paraId="0EE719A2" w14:textId="77777777" w:rsidR="00CC3E74" w:rsidRDefault="00CC3E74" w:rsidP="00CC3E74">
      <w:pPr>
        <w:rPr>
          <w:sz w:val="20"/>
        </w:rPr>
      </w:pPr>
    </w:p>
    <w:p w14:paraId="52CF1279" w14:textId="77777777" w:rsidR="00CC3E74" w:rsidRPr="005C1AA0" w:rsidRDefault="00CC3E74" w:rsidP="00CC3E74">
      <w:pPr>
        <w:jc w:val="both"/>
        <w:rPr>
          <w:sz w:val="18"/>
        </w:rPr>
      </w:pPr>
      <w:r>
        <w:rPr>
          <w:sz w:val="20"/>
        </w:rPr>
        <w:t>Please note that we believe in providing the widest practicable access to all our degree programmes and appreciate that i</w:t>
      </w:r>
      <w:r w:rsidRPr="005C1AA0">
        <w:rPr>
          <w:sz w:val="20"/>
        </w:rPr>
        <w:t xml:space="preserve">t is not possible </w:t>
      </w:r>
      <w:r>
        <w:rPr>
          <w:sz w:val="20"/>
        </w:rPr>
        <w:t>to anticipate all circumstances. If it is</w:t>
      </w:r>
      <w:r w:rsidRPr="005C1AA0">
        <w:rPr>
          <w:sz w:val="20"/>
        </w:rPr>
        <w:t xml:space="preserve"> possib</w:t>
      </w:r>
      <w:r>
        <w:rPr>
          <w:sz w:val="20"/>
        </w:rPr>
        <w:t>le to mitigate the impact of a</w:t>
      </w:r>
      <w:r w:rsidRPr="005C1AA0">
        <w:rPr>
          <w:sz w:val="20"/>
        </w:rPr>
        <w:t xml:space="preserve"> disability</w:t>
      </w:r>
      <w:r>
        <w:rPr>
          <w:sz w:val="20"/>
        </w:rPr>
        <w:t xml:space="preserve"> by making a reasonable adjustment to our procedures,</w:t>
      </w:r>
      <w:r w:rsidRPr="005C1AA0">
        <w:rPr>
          <w:sz w:val="20"/>
        </w:rPr>
        <w:t xml:space="preserve"> </w:t>
      </w:r>
      <w:r w:rsidRPr="008620A9">
        <w:rPr>
          <w:i/>
          <w:sz w:val="20"/>
        </w:rPr>
        <w:t>e.g</w:t>
      </w:r>
      <w:r>
        <w:rPr>
          <w:sz w:val="20"/>
        </w:rPr>
        <w:t>. by the use of an amanuensis or by the application of a specific technology, then we will make every effort to implement this with due consideration to ensuring fairness to all students and ensuring that all health and safety concerns are met. Therefore,</w:t>
      </w:r>
      <w:r w:rsidRPr="005C1AA0">
        <w:rPr>
          <w:sz w:val="20"/>
        </w:rPr>
        <w:t xml:space="preserve"> the inability to meet one of the </w:t>
      </w:r>
      <w:r>
        <w:rPr>
          <w:sz w:val="20"/>
        </w:rPr>
        <w:t>below</w:t>
      </w:r>
      <w:r w:rsidRPr="005C1AA0">
        <w:rPr>
          <w:sz w:val="20"/>
        </w:rPr>
        <w:t xml:space="preserve"> competency standards due to disability </w:t>
      </w:r>
      <w:r>
        <w:rPr>
          <w:sz w:val="20"/>
        </w:rPr>
        <w:t>does not necessarily</w:t>
      </w:r>
      <w:r w:rsidRPr="005C1AA0">
        <w:rPr>
          <w:sz w:val="20"/>
        </w:rPr>
        <w:t xml:space="preserve"> preclude en</w:t>
      </w:r>
      <w:r>
        <w:rPr>
          <w:sz w:val="20"/>
        </w:rPr>
        <w:t xml:space="preserve">try to a given degree programme but rather </w:t>
      </w:r>
      <w:r w:rsidRPr="005C1AA0">
        <w:rPr>
          <w:sz w:val="20"/>
        </w:rPr>
        <w:t>constitute</w:t>
      </w:r>
      <w:r>
        <w:rPr>
          <w:sz w:val="20"/>
        </w:rPr>
        <w:t>s</w:t>
      </w:r>
      <w:r w:rsidRPr="005C1AA0">
        <w:rPr>
          <w:sz w:val="20"/>
        </w:rPr>
        <w:t xml:space="preserve"> the starting point for a dialogue between the potential applican</w:t>
      </w:r>
      <w:r>
        <w:rPr>
          <w:sz w:val="20"/>
        </w:rPr>
        <w:t>t, the College’s disability o</w:t>
      </w:r>
      <w:r w:rsidRPr="005C1AA0">
        <w:rPr>
          <w:sz w:val="20"/>
        </w:rPr>
        <w:t>fficer and the Department</w:t>
      </w:r>
      <w:r>
        <w:rPr>
          <w:sz w:val="20"/>
        </w:rPr>
        <w:t>.</w:t>
      </w:r>
    </w:p>
    <w:p w14:paraId="6D0495C1" w14:textId="77777777" w:rsidR="00094352" w:rsidRDefault="00094352"/>
    <w:tbl>
      <w:tblPr>
        <w:tblW w:w="0" w:type="auto"/>
        <w:tblCellMar>
          <w:top w:w="15" w:type="dxa"/>
          <w:left w:w="15" w:type="dxa"/>
          <w:bottom w:w="15" w:type="dxa"/>
          <w:right w:w="15" w:type="dxa"/>
        </w:tblCellMar>
        <w:tblLook w:val="04A0" w:firstRow="1" w:lastRow="0" w:firstColumn="1" w:lastColumn="0" w:noHBand="0" w:noVBand="1"/>
      </w:tblPr>
      <w:tblGrid>
        <w:gridCol w:w="3701"/>
        <w:gridCol w:w="5355"/>
      </w:tblGrid>
      <w:tr w:rsidR="0011543E" w:rsidRPr="0084600D" w14:paraId="1570D3A6" w14:textId="77777777" w:rsidTr="001C62D7">
        <w:trPr>
          <w:cantSplit/>
        </w:trPr>
        <w:tc>
          <w:tcPr>
            <w:tcW w:w="370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3F1F93C" w14:textId="77777777" w:rsidR="0084600D" w:rsidRPr="0084600D" w:rsidRDefault="00DA5343" w:rsidP="0084600D">
            <w:pPr>
              <w:spacing w:before="100" w:beforeAutospacing="1" w:after="100" w:afterAutospacing="1"/>
              <w:jc w:val="center"/>
              <w:rPr>
                <w:b/>
                <w:sz w:val="20"/>
                <w:szCs w:val="20"/>
              </w:rPr>
            </w:pPr>
            <w:r>
              <w:rPr>
                <w:b/>
                <w:sz w:val="20"/>
                <w:szCs w:val="20"/>
              </w:rPr>
              <w:t xml:space="preserve">Learning </w:t>
            </w:r>
            <w:r w:rsidR="00094352">
              <w:rPr>
                <w:b/>
                <w:sz w:val="20"/>
                <w:szCs w:val="20"/>
              </w:rPr>
              <w:t>Outcome</w:t>
            </w:r>
          </w:p>
        </w:tc>
        <w:tc>
          <w:tcPr>
            <w:tcW w:w="535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4F350D5" w14:textId="77777777" w:rsidR="0084600D" w:rsidRPr="0084600D" w:rsidRDefault="0084600D" w:rsidP="0084600D">
            <w:pPr>
              <w:spacing w:before="100" w:beforeAutospacing="1" w:after="100" w:afterAutospacing="1"/>
              <w:jc w:val="center"/>
              <w:rPr>
                <w:b/>
                <w:sz w:val="20"/>
                <w:szCs w:val="20"/>
              </w:rPr>
            </w:pPr>
            <w:r w:rsidRPr="0084600D">
              <w:rPr>
                <w:b/>
                <w:sz w:val="20"/>
                <w:szCs w:val="20"/>
              </w:rPr>
              <w:t>Competence Standard</w:t>
            </w:r>
          </w:p>
        </w:tc>
      </w:tr>
      <w:tr w:rsidR="0011543E" w:rsidRPr="003C7F83" w14:paraId="7FDA916F" w14:textId="77777777" w:rsidTr="00094352">
        <w:trPr>
          <w:cantSplit/>
        </w:trPr>
        <w:tc>
          <w:tcPr>
            <w:tcW w:w="3701" w:type="dxa"/>
            <w:tcBorders>
              <w:top w:val="single" w:sz="4" w:space="0" w:color="000000"/>
              <w:left w:val="single" w:sz="4" w:space="0" w:color="000000"/>
              <w:bottom w:val="single" w:sz="4" w:space="0" w:color="000000"/>
              <w:right w:val="single" w:sz="4" w:space="0" w:color="000000"/>
            </w:tcBorders>
          </w:tcPr>
          <w:p w14:paraId="247439BC" w14:textId="77777777" w:rsidR="00094352" w:rsidRPr="003C7F83" w:rsidRDefault="00727307" w:rsidP="00727307">
            <w:pPr>
              <w:jc w:val="both"/>
              <w:rPr>
                <w:sz w:val="20"/>
                <w:szCs w:val="20"/>
              </w:rPr>
            </w:pPr>
            <w:r>
              <w:rPr>
                <w:rFonts w:cs="Arial"/>
                <w:b/>
                <w:sz w:val="20"/>
                <w:szCs w:val="20"/>
              </w:rPr>
              <w:t xml:space="preserve">Subject Specific </w:t>
            </w:r>
            <w:r w:rsidR="00911FD1" w:rsidRPr="00D55AF2">
              <w:rPr>
                <w:rFonts w:cs="Arial"/>
                <w:b/>
                <w:sz w:val="20"/>
                <w:szCs w:val="20"/>
              </w:rPr>
              <w:t>Knowledge and Understanding</w:t>
            </w:r>
          </w:p>
        </w:tc>
        <w:tc>
          <w:tcPr>
            <w:tcW w:w="5355" w:type="dxa"/>
            <w:tcBorders>
              <w:top w:val="single" w:sz="4" w:space="0" w:color="000000"/>
              <w:left w:val="single" w:sz="4" w:space="0" w:color="000000"/>
              <w:bottom w:val="single" w:sz="4" w:space="0" w:color="000000"/>
              <w:right w:val="single" w:sz="4" w:space="0" w:color="000000"/>
            </w:tcBorders>
          </w:tcPr>
          <w:p w14:paraId="19D79E24" w14:textId="77777777" w:rsidR="0092204D" w:rsidRPr="005F6676" w:rsidRDefault="00094352" w:rsidP="005F6676">
            <w:pPr>
              <w:pStyle w:val="ListParagraph"/>
              <w:numPr>
                <w:ilvl w:val="0"/>
                <w:numId w:val="5"/>
              </w:numPr>
              <w:ind w:left="410" w:hanging="283"/>
              <w:rPr>
                <w:sz w:val="20"/>
                <w:szCs w:val="20"/>
              </w:rPr>
            </w:pPr>
            <w:r w:rsidRPr="000F6B44">
              <w:rPr>
                <w:sz w:val="20"/>
                <w:szCs w:val="20"/>
              </w:rPr>
              <w:t>Ability to perceive</w:t>
            </w:r>
            <w:r w:rsidR="007238B7" w:rsidRPr="000F6B44">
              <w:rPr>
                <w:sz w:val="20"/>
                <w:szCs w:val="20"/>
              </w:rPr>
              <w:t>, synthesise</w:t>
            </w:r>
            <w:r w:rsidR="005F6676">
              <w:rPr>
                <w:sz w:val="20"/>
                <w:szCs w:val="20"/>
              </w:rPr>
              <w:t>, retain</w:t>
            </w:r>
            <w:r w:rsidR="007238B7" w:rsidRPr="000F6B44">
              <w:rPr>
                <w:sz w:val="20"/>
                <w:szCs w:val="20"/>
              </w:rPr>
              <w:t xml:space="preserve"> and apply </w:t>
            </w:r>
            <w:r w:rsidRPr="000F6B44">
              <w:rPr>
                <w:sz w:val="20"/>
                <w:szCs w:val="20"/>
              </w:rPr>
              <w:t>information</w:t>
            </w:r>
            <w:r w:rsidR="007238B7" w:rsidRPr="000F6B44">
              <w:rPr>
                <w:sz w:val="20"/>
                <w:szCs w:val="20"/>
              </w:rPr>
              <w:t xml:space="preserve"> presented orally and in writing from a range of contexts including </w:t>
            </w:r>
            <w:r w:rsidR="005F6676">
              <w:rPr>
                <w:sz w:val="20"/>
                <w:szCs w:val="20"/>
              </w:rPr>
              <w:t xml:space="preserve">large- (e.g. lectures, workshops) and small-group (e.g. tutorials, project groups) and individual (e.g. on-line modules, </w:t>
            </w:r>
            <w:proofErr w:type="spellStart"/>
            <w:r w:rsidR="005F6676">
              <w:rPr>
                <w:sz w:val="20"/>
                <w:szCs w:val="20"/>
              </w:rPr>
              <w:t>vivas</w:t>
            </w:r>
            <w:proofErr w:type="spellEnd"/>
            <w:r w:rsidR="005F6676">
              <w:rPr>
                <w:sz w:val="20"/>
                <w:szCs w:val="20"/>
              </w:rPr>
              <w:t>, 1-to-1 supervision) teaching.</w:t>
            </w:r>
          </w:p>
        </w:tc>
      </w:tr>
      <w:tr w:rsidR="0011543E" w:rsidRPr="003C7F83" w14:paraId="1C9C2400" w14:textId="77777777" w:rsidTr="00094352">
        <w:trPr>
          <w:cantSplit/>
        </w:trPr>
        <w:tc>
          <w:tcPr>
            <w:tcW w:w="3701" w:type="dxa"/>
            <w:tcBorders>
              <w:top w:val="single" w:sz="4" w:space="0" w:color="000000"/>
              <w:left w:val="single" w:sz="4" w:space="0" w:color="000000"/>
              <w:bottom w:val="single" w:sz="4" w:space="0" w:color="000000"/>
              <w:right w:val="single" w:sz="4" w:space="0" w:color="000000"/>
            </w:tcBorders>
          </w:tcPr>
          <w:p w14:paraId="7F0A3EAA" w14:textId="77777777" w:rsidR="00727307" w:rsidRDefault="002C0534" w:rsidP="002C0534">
            <w:pPr>
              <w:pStyle w:val="Default"/>
              <w:rPr>
                <w:b/>
                <w:bCs/>
                <w:sz w:val="20"/>
                <w:szCs w:val="20"/>
              </w:rPr>
            </w:pPr>
            <w:r>
              <w:rPr>
                <w:b/>
                <w:bCs/>
                <w:sz w:val="20"/>
                <w:szCs w:val="20"/>
              </w:rPr>
              <w:t>Skills a</w:t>
            </w:r>
            <w:r w:rsidR="00727307">
              <w:rPr>
                <w:b/>
                <w:bCs/>
                <w:sz w:val="20"/>
                <w:szCs w:val="20"/>
              </w:rPr>
              <w:t>nd other Attributes –</w:t>
            </w:r>
          </w:p>
          <w:p w14:paraId="4712FCF6" w14:textId="77777777" w:rsidR="0011543E" w:rsidRPr="003C7F83" w:rsidRDefault="002C0534" w:rsidP="002C0534">
            <w:pPr>
              <w:pStyle w:val="Default"/>
              <w:rPr>
                <w:sz w:val="20"/>
                <w:szCs w:val="20"/>
              </w:rPr>
            </w:pPr>
            <w:r w:rsidRPr="002C0534">
              <w:rPr>
                <w:b/>
                <w:bCs/>
                <w:i/>
                <w:sz w:val="20"/>
                <w:szCs w:val="20"/>
              </w:rPr>
              <w:t>Intellectual Skills</w:t>
            </w:r>
          </w:p>
        </w:tc>
        <w:tc>
          <w:tcPr>
            <w:tcW w:w="5355" w:type="dxa"/>
            <w:tcBorders>
              <w:top w:val="single" w:sz="4" w:space="0" w:color="000000"/>
              <w:left w:val="single" w:sz="4" w:space="0" w:color="000000"/>
              <w:bottom w:val="single" w:sz="4" w:space="0" w:color="000000"/>
              <w:right w:val="single" w:sz="4" w:space="0" w:color="000000"/>
            </w:tcBorders>
          </w:tcPr>
          <w:p w14:paraId="3E7F574A" w14:textId="77777777" w:rsidR="005F6676" w:rsidRPr="00543718" w:rsidRDefault="005F6676" w:rsidP="000F6B44">
            <w:pPr>
              <w:pStyle w:val="ListParagraph"/>
              <w:numPr>
                <w:ilvl w:val="0"/>
                <w:numId w:val="6"/>
              </w:numPr>
              <w:ind w:left="410" w:hanging="283"/>
              <w:rPr>
                <w:sz w:val="20"/>
                <w:szCs w:val="20"/>
              </w:rPr>
            </w:pPr>
            <w:r w:rsidRPr="00543718">
              <w:rPr>
                <w:sz w:val="20"/>
                <w:szCs w:val="20"/>
              </w:rPr>
              <w:t>Psychological ability to cope with full-time study.</w:t>
            </w:r>
          </w:p>
          <w:p w14:paraId="36447744" w14:textId="77777777" w:rsidR="00727307" w:rsidRPr="00543718" w:rsidRDefault="00727307" w:rsidP="00727307">
            <w:pPr>
              <w:pStyle w:val="ListParagraph"/>
              <w:numPr>
                <w:ilvl w:val="0"/>
                <w:numId w:val="8"/>
              </w:numPr>
              <w:spacing w:before="100" w:beforeAutospacing="1" w:after="0"/>
              <w:ind w:left="410" w:hanging="283"/>
              <w:rPr>
                <w:sz w:val="20"/>
                <w:szCs w:val="20"/>
              </w:rPr>
            </w:pPr>
            <w:r w:rsidRPr="00543718">
              <w:rPr>
                <w:sz w:val="20"/>
                <w:szCs w:val="20"/>
              </w:rPr>
              <w:t>Ability to perceive and comprehend verbal and written communication.</w:t>
            </w:r>
          </w:p>
          <w:p w14:paraId="7BA04D2E" w14:textId="77777777" w:rsidR="005F6676" w:rsidRPr="00543718" w:rsidRDefault="00727307" w:rsidP="00727307">
            <w:pPr>
              <w:pStyle w:val="ListParagraph"/>
              <w:numPr>
                <w:ilvl w:val="0"/>
                <w:numId w:val="6"/>
              </w:numPr>
              <w:spacing w:before="100" w:beforeAutospacing="1" w:after="100" w:afterAutospacing="1"/>
              <w:ind w:left="410" w:hanging="283"/>
              <w:rPr>
                <w:sz w:val="20"/>
                <w:szCs w:val="20"/>
              </w:rPr>
            </w:pPr>
            <w:r w:rsidRPr="00543718">
              <w:rPr>
                <w:sz w:val="20"/>
                <w:szCs w:val="20"/>
              </w:rPr>
              <w:t xml:space="preserve">Ability </w:t>
            </w:r>
            <w:r w:rsidR="005F6676" w:rsidRPr="00543718">
              <w:rPr>
                <w:sz w:val="20"/>
                <w:szCs w:val="20"/>
              </w:rPr>
              <w:t>to prepare, process, and interpret data using appropriate techniques.</w:t>
            </w:r>
          </w:p>
          <w:p w14:paraId="4FBDE9FA" w14:textId="77777777" w:rsidR="007656AE" w:rsidRPr="00543718" w:rsidRDefault="005F6676" w:rsidP="000F6B44">
            <w:pPr>
              <w:pStyle w:val="ListParagraph"/>
              <w:numPr>
                <w:ilvl w:val="0"/>
                <w:numId w:val="6"/>
              </w:numPr>
              <w:ind w:left="410" w:hanging="283"/>
              <w:rPr>
                <w:sz w:val="20"/>
                <w:szCs w:val="20"/>
              </w:rPr>
            </w:pPr>
            <w:r w:rsidRPr="00543718">
              <w:rPr>
                <w:sz w:val="20"/>
                <w:szCs w:val="20"/>
              </w:rPr>
              <w:t>Excellent arithmetic ability.</w:t>
            </w:r>
          </w:p>
          <w:p w14:paraId="43C5F6DC" w14:textId="77777777" w:rsidR="0011543E" w:rsidRPr="00543718" w:rsidRDefault="0011543E" w:rsidP="00727307">
            <w:pPr>
              <w:pStyle w:val="ListParagraph"/>
              <w:numPr>
                <w:ilvl w:val="0"/>
                <w:numId w:val="6"/>
              </w:numPr>
              <w:spacing w:after="0"/>
              <w:ind w:left="410" w:hanging="283"/>
              <w:rPr>
                <w:sz w:val="20"/>
                <w:szCs w:val="20"/>
              </w:rPr>
            </w:pPr>
            <w:r w:rsidRPr="00543718">
              <w:rPr>
                <w:sz w:val="20"/>
                <w:szCs w:val="20"/>
              </w:rPr>
              <w:t>Ability to prepare, process, and interpret data using appropriate t</w:t>
            </w:r>
            <w:r w:rsidR="00727307" w:rsidRPr="00543718">
              <w:rPr>
                <w:sz w:val="20"/>
                <w:szCs w:val="20"/>
              </w:rPr>
              <w:t>echniques and ability to form logical, reasonable conclusions and make sound recommendations based on available data.</w:t>
            </w:r>
          </w:p>
        </w:tc>
      </w:tr>
      <w:tr w:rsidR="00712E72" w:rsidRPr="003C7F83" w14:paraId="1FDD3818" w14:textId="77777777" w:rsidTr="00094352">
        <w:trPr>
          <w:cantSplit/>
        </w:trPr>
        <w:tc>
          <w:tcPr>
            <w:tcW w:w="3701" w:type="dxa"/>
            <w:tcBorders>
              <w:top w:val="single" w:sz="4" w:space="0" w:color="000000"/>
              <w:left w:val="single" w:sz="4" w:space="0" w:color="000000"/>
              <w:bottom w:val="single" w:sz="4" w:space="0" w:color="000000"/>
              <w:right w:val="single" w:sz="4" w:space="0" w:color="000000"/>
            </w:tcBorders>
          </w:tcPr>
          <w:p w14:paraId="2D1DD1D1" w14:textId="77777777" w:rsidR="00727307" w:rsidRDefault="002C0534" w:rsidP="00727307">
            <w:pPr>
              <w:rPr>
                <w:b/>
                <w:bCs/>
                <w:sz w:val="20"/>
                <w:szCs w:val="20"/>
              </w:rPr>
            </w:pPr>
            <w:r>
              <w:rPr>
                <w:b/>
                <w:bCs/>
                <w:sz w:val="20"/>
                <w:szCs w:val="20"/>
              </w:rPr>
              <w:t>Skills and other Attributes –</w:t>
            </w:r>
          </w:p>
          <w:p w14:paraId="6C071325" w14:textId="77777777" w:rsidR="00712E72" w:rsidRPr="003C7F83" w:rsidRDefault="002C0534" w:rsidP="00727307">
            <w:pPr>
              <w:rPr>
                <w:sz w:val="20"/>
                <w:szCs w:val="20"/>
              </w:rPr>
            </w:pPr>
            <w:r>
              <w:rPr>
                <w:b/>
                <w:bCs/>
                <w:i/>
                <w:sz w:val="20"/>
                <w:szCs w:val="20"/>
              </w:rPr>
              <w:t xml:space="preserve">Practical </w:t>
            </w:r>
            <w:r w:rsidRPr="002C0534">
              <w:rPr>
                <w:b/>
                <w:bCs/>
                <w:i/>
                <w:sz w:val="20"/>
                <w:szCs w:val="20"/>
              </w:rPr>
              <w:t>Skills</w:t>
            </w:r>
          </w:p>
        </w:tc>
        <w:tc>
          <w:tcPr>
            <w:tcW w:w="5355" w:type="dxa"/>
            <w:tcBorders>
              <w:top w:val="single" w:sz="4" w:space="0" w:color="000000"/>
              <w:left w:val="single" w:sz="4" w:space="0" w:color="000000"/>
              <w:bottom w:val="single" w:sz="4" w:space="0" w:color="000000"/>
              <w:right w:val="single" w:sz="4" w:space="0" w:color="000000"/>
            </w:tcBorders>
          </w:tcPr>
          <w:p w14:paraId="66765293" w14:textId="77777777" w:rsidR="00543718" w:rsidRPr="00543718" w:rsidRDefault="00543718" w:rsidP="00543718">
            <w:pPr>
              <w:pStyle w:val="ListParagraph"/>
              <w:numPr>
                <w:ilvl w:val="0"/>
                <w:numId w:val="6"/>
              </w:numPr>
              <w:ind w:left="410" w:hanging="283"/>
              <w:rPr>
                <w:sz w:val="20"/>
                <w:szCs w:val="20"/>
              </w:rPr>
            </w:pPr>
            <w:r w:rsidRPr="00543718">
              <w:rPr>
                <w:sz w:val="20"/>
                <w:szCs w:val="20"/>
              </w:rPr>
              <w:t xml:space="preserve">Carry out investigative project work as an individual and as part of a small group. </w:t>
            </w:r>
          </w:p>
          <w:p w14:paraId="644AAD0A" w14:textId="77777777" w:rsidR="00712E72" w:rsidRPr="00543718" w:rsidRDefault="00543718" w:rsidP="00543718">
            <w:pPr>
              <w:pStyle w:val="ListParagraph"/>
              <w:numPr>
                <w:ilvl w:val="0"/>
                <w:numId w:val="6"/>
              </w:numPr>
              <w:spacing w:after="0"/>
              <w:ind w:left="410" w:hanging="283"/>
              <w:rPr>
                <w:sz w:val="20"/>
                <w:szCs w:val="20"/>
              </w:rPr>
            </w:pPr>
            <w:r w:rsidRPr="00543718">
              <w:rPr>
                <w:sz w:val="20"/>
                <w:szCs w:val="20"/>
              </w:rPr>
              <w:t>Use symbolic and numerical software as part of practical computation.</w:t>
            </w:r>
          </w:p>
        </w:tc>
      </w:tr>
      <w:tr w:rsidR="00712E72" w:rsidRPr="003C7F83" w14:paraId="23A7129E" w14:textId="77777777" w:rsidTr="00094352">
        <w:trPr>
          <w:cantSplit/>
        </w:trPr>
        <w:tc>
          <w:tcPr>
            <w:tcW w:w="3701" w:type="dxa"/>
            <w:tcBorders>
              <w:top w:val="single" w:sz="4" w:space="0" w:color="000000"/>
              <w:left w:val="single" w:sz="4" w:space="0" w:color="000000"/>
              <w:bottom w:val="single" w:sz="4" w:space="0" w:color="000000"/>
              <w:right w:val="single" w:sz="4" w:space="0" w:color="000000"/>
            </w:tcBorders>
          </w:tcPr>
          <w:p w14:paraId="04BDB3EF" w14:textId="77777777" w:rsidR="00712E72" w:rsidRPr="0084600D" w:rsidRDefault="002C0534" w:rsidP="002C0534">
            <w:pPr>
              <w:spacing w:before="100" w:beforeAutospacing="1" w:after="100" w:afterAutospacing="1"/>
              <w:rPr>
                <w:sz w:val="20"/>
                <w:szCs w:val="20"/>
              </w:rPr>
            </w:pPr>
            <w:r>
              <w:rPr>
                <w:b/>
                <w:bCs/>
                <w:sz w:val="20"/>
                <w:szCs w:val="20"/>
              </w:rPr>
              <w:t xml:space="preserve">Skills and other Attributes – </w:t>
            </w:r>
            <w:r>
              <w:rPr>
                <w:b/>
                <w:bCs/>
                <w:i/>
                <w:sz w:val="20"/>
                <w:szCs w:val="20"/>
              </w:rPr>
              <w:t xml:space="preserve">Transferrable </w:t>
            </w:r>
            <w:r w:rsidRPr="002C0534">
              <w:rPr>
                <w:b/>
                <w:bCs/>
                <w:i/>
                <w:sz w:val="20"/>
                <w:szCs w:val="20"/>
              </w:rPr>
              <w:t>Skills</w:t>
            </w:r>
          </w:p>
        </w:tc>
        <w:tc>
          <w:tcPr>
            <w:tcW w:w="5355" w:type="dxa"/>
            <w:tcBorders>
              <w:top w:val="single" w:sz="4" w:space="0" w:color="000000"/>
              <w:left w:val="single" w:sz="4" w:space="0" w:color="000000"/>
              <w:bottom w:val="single" w:sz="4" w:space="0" w:color="000000"/>
              <w:right w:val="single" w:sz="4" w:space="0" w:color="000000"/>
            </w:tcBorders>
          </w:tcPr>
          <w:p w14:paraId="7CAC88AD" w14:textId="77777777" w:rsidR="00712E72" w:rsidRPr="00543718" w:rsidRDefault="00712E72" w:rsidP="00F16408">
            <w:pPr>
              <w:pStyle w:val="ListParagraph"/>
              <w:numPr>
                <w:ilvl w:val="0"/>
                <w:numId w:val="8"/>
              </w:numPr>
              <w:spacing w:before="100" w:beforeAutospacing="1" w:after="100" w:afterAutospacing="1"/>
              <w:ind w:left="410" w:hanging="283"/>
              <w:rPr>
                <w:sz w:val="20"/>
                <w:szCs w:val="20"/>
              </w:rPr>
            </w:pPr>
            <w:r w:rsidRPr="00543718">
              <w:rPr>
                <w:sz w:val="20"/>
                <w:szCs w:val="20"/>
              </w:rPr>
              <w:t>Ability to communicate, verbally and i</w:t>
            </w:r>
            <w:r w:rsidR="000F6B44" w:rsidRPr="00543718">
              <w:rPr>
                <w:sz w:val="20"/>
                <w:szCs w:val="20"/>
              </w:rPr>
              <w:t xml:space="preserve">n writing, clearly, </w:t>
            </w:r>
            <w:r w:rsidR="007238B7" w:rsidRPr="00543718">
              <w:rPr>
                <w:sz w:val="20"/>
                <w:szCs w:val="20"/>
              </w:rPr>
              <w:t xml:space="preserve">and </w:t>
            </w:r>
            <w:r w:rsidRPr="00543718">
              <w:rPr>
                <w:sz w:val="20"/>
                <w:szCs w:val="20"/>
              </w:rPr>
              <w:t>effectively.</w:t>
            </w:r>
          </w:p>
          <w:p w14:paraId="02043F2D" w14:textId="77777777" w:rsidR="005F6676" w:rsidRPr="00543718" w:rsidRDefault="005F6676" w:rsidP="00F16408">
            <w:pPr>
              <w:pStyle w:val="ListParagraph"/>
              <w:numPr>
                <w:ilvl w:val="0"/>
                <w:numId w:val="8"/>
              </w:numPr>
              <w:ind w:left="410" w:hanging="283"/>
              <w:rPr>
                <w:sz w:val="20"/>
                <w:szCs w:val="20"/>
              </w:rPr>
            </w:pPr>
            <w:r w:rsidRPr="00543718">
              <w:rPr>
                <w:sz w:val="20"/>
                <w:szCs w:val="20"/>
              </w:rPr>
              <w:t>Ability to express ideas effectively, both orally and written, in a variety of settings including group work.</w:t>
            </w:r>
          </w:p>
          <w:p w14:paraId="77F84B3B" w14:textId="77777777" w:rsidR="00F16408" w:rsidRPr="00543718" w:rsidRDefault="00F16408" w:rsidP="00F16408">
            <w:pPr>
              <w:pStyle w:val="ListParagraph"/>
              <w:numPr>
                <w:ilvl w:val="0"/>
                <w:numId w:val="6"/>
              </w:numPr>
              <w:spacing w:after="0"/>
              <w:ind w:left="410" w:hanging="283"/>
              <w:rPr>
                <w:sz w:val="20"/>
                <w:szCs w:val="20"/>
              </w:rPr>
            </w:pPr>
            <w:r w:rsidRPr="00543718">
              <w:rPr>
                <w:sz w:val="20"/>
                <w:szCs w:val="20"/>
              </w:rPr>
              <w:t xml:space="preserve">Ability to present written technical reports to others, and to make oral presentations that are reasoned, logical and time-limited, </w:t>
            </w:r>
            <w:r w:rsidR="00727307" w:rsidRPr="00543718">
              <w:rPr>
                <w:sz w:val="20"/>
                <w:szCs w:val="20"/>
              </w:rPr>
              <w:t>to a variety of groups.</w:t>
            </w:r>
          </w:p>
          <w:p w14:paraId="0B6B04E2" w14:textId="77777777" w:rsidR="00727307" w:rsidRPr="00543718" w:rsidRDefault="00727307" w:rsidP="00F16408">
            <w:pPr>
              <w:pStyle w:val="ListParagraph"/>
              <w:numPr>
                <w:ilvl w:val="0"/>
                <w:numId w:val="6"/>
              </w:numPr>
              <w:spacing w:after="0"/>
              <w:ind w:left="410" w:hanging="283"/>
              <w:rPr>
                <w:sz w:val="20"/>
                <w:szCs w:val="20"/>
              </w:rPr>
            </w:pPr>
            <w:r w:rsidRPr="00543718">
              <w:rPr>
                <w:sz w:val="20"/>
                <w:szCs w:val="20"/>
              </w:rPr>
              <w:t>Ability to write group or individual technical reports to a professional standard.</w:t>
            </w:r>
          </w:p>
        </w:tc>
      </w:tr>
    </w:tbl>
    <w:p w14:paraId="5B81F9EF" w14:textId="77777777" w:rsidR="00721028" w:rsidRPr="005F6676" w:rsidRDefault="00444A4B" w:rsidP="000F6B44">
      <w:pPr>
        <w:rPr>
          <w:sz w:val="10"/>
        </w:rPr>
      </w:pPr>
    </w:p>
    <w:sectPr w:rsidR="00721028" w:rsidRPr="005F6676" w:rsidSect="00CC3E7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67856"/>
    <w:multiLevelType w:val="hybridMultilevel"/>
    <w:tmpl w:val="AA88D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267D1"/>
    <w:multiLevelType w:val="hybridMultilevel"/>
    <w:tmpl w:val="F9840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3B2A90"/>
    <w:multiLevelType w:val="hybridMultilevel"/>
    <w:tmpl w:val="3DC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9723A5"/>
    <w:multiLevelType w:val="multilevel"/>
    <w:tmpl w:val="C9821EB2"/>
    <w:lvl w:ilvl="0">
      <w:start w:val="1"/>
      <w:numFmt w:val="decimal"/>
      <w:lvlText w:val="%1."/>
      <w:lvlJc w:val="left"/>
      <w:pPr>
        <w:tabs>
          <w:tab w:val="num" w:pos="284"/>
        </w:tabs>
        <w:ind w:left="284" w:hanging="284"/>
      </w:pPr>
      <w:rPr>
        <w:rFonts w:hint="default"/>
        <w:b/>
        <w:sz w:val="22"/>
      </w:rPr>
    </w:lvl>
    <w:lvl w:ilvl="1">
      <w:start w:val="1"/>
      <w:numFmt w:val="decimal"/>
      <w:lvlText w:val="%1.%2."/>
      <w:lvlJc w:val="left"/>
      <w:pPr>
        <w:ind w:left="1512" w:hanging="1512"/>
      </w:pPr>
      <w:rPr>
        <w:rFonts w:hint="default"/>
        <w:b w:val="0"/>
        <w:sz w:val="22"/>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67E45B1A"/>
    <w:multiLevelType w:val="hybridMultilevel"/>
    <w:tmpl w:val="7F0C58C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6D441238"/>
    <w:multiLevelType w:val="hybridMultilevel"/>
    <w:tmpl w:val="64C8A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A606D3"/>
    <w:multiLevelType w:val="hybridMultilevel"/>
    <w:tmpl w:val="DDB6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D809B7"/>
    <w:multiLevelType w:val="hybridMultilevel"/>
    <w:tmpl w:val="C0E83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decimal"/>
        <w:lvlText w:val="%1."/>
        <w:lvlJc w:val="left"/>
        <w:pPr>
          <w:tabs>
            <w:tab w:val="num" w:pos="284"/>
          </w:tabs>
          <w:ind w:left="284" w:hanging="284"/>
        </w:pPr>
        <w:rPr>
          <w:rFonts w:hint="default"/>
          <w:b/>
          <w:sz w:val="22"/>
        </w:rPr>
      </w:lvl>
    </w:lvlOverride>
    <w:lvlOverride w:ilvl="1">
      <w:lvl w:ilvl="1">
        <w:start w:val="1"/>
        <w:numFmt w:val="decimal"/>
        <w:lvlText w:val="%1.%2."/>
        <w:lvlJc w:val="left"/>
        <w:pPr>
          <w:ind w:left="1512" w:hanging="15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lvlText w:val="%1.%2.%3."/>
        <w:lvlJc w:val="left"/>
        <w:pPr>
          <w:ind w:left="1944" w:hanging="504"/>
        </w:pPr>
        <w:rPr>
          <w:rFonts w:hint="default"/>
        </w:rPr>
      </w:lvl>
    </w:lvlOverride>
    <w:lvlOverride w:ilvl="3">
      <w:lvl w:ilvl="3">
        <w:start w:val="1"/>
        <w:numFmt w:val="decimal"/>
        <w:lvlText w:val="%1.%2.%3.%4."/>
        <w:lvlJc w:val="left"/>
        <w:pPr>
          <w:ind w:left="2448" w:hanging="648"/>
        </w:pPr>
        <w:rPr>
          <w:rFonts w:hint="default"/>
        </w:rPr>
      </w:lvl>
    </w:lvlOverride>
    <w:lvlOverride w:ilvl="4">
      <w:lvl w:ilvl="4">
        <w:start w:val="1"/>
        <w:numFmt w:val="decimal"/>
        <w:lvlText w:val="%1.%2.%3.%4.%5."/>
        <w:lvlJc w:val="left"/>
        <w:pPr>
          <w:ind w:left="2952" w:hanging="792"/>
        </w:pPr>
        <w:rPr>
          <w:rFonts w:hint="default"/>
        </w:rPr>
      </w:lvl>
    </w:lvlOverride>
    <w:lvlOverride w:ilvl="5">
      <w:lvl w:ilvl="5">
        <w:start w:val="1"/>
        <w:numFmt w:val="decimal"/>
        <w:lvlText w:val="%1.%2.%3.%4.%5.%6."/>
        <w:lvlJc w:val="left"/>
        <w:pPr>
          <w:ind w:left="3456" w:hanging="936"/>
        </w:pPr>
        <w:rPr>
          <w:rFonts w:hint="default"/>
        </w:rPr>
      </w:lvl>
    </w:lvlOverride>
    <w:lvlOverride w:ilvl="6">
      <w:lvl w:ilvl="6">
        <w:start w:val="1"/>
        <w:numFmt w:val="decimal"/>
        <w:lvlText w:val="%1.%2.%3.%4.%5.%6.%7."/>
        <w:lvlJc w:val="left"/>
        <w:pPr>
          <w:ind w:left="3960" w:hanging="1080"/>
        </w:pPr>
        <w:rPr>
          <w:rFonts w:hint="default"/>
        </w:rPr>
      </w:lvl>
    </w:lvlOverride>
    <w:lvlOverride w:ilvl="7">
      <w:lvl w:ilvl="7">
        <w:start w:val="1"/>
        <w:numFmt w:val="decimal"/>
        <w:lvlText w:val="%1.%2.%3.%4.%5.%6.%7.%8."/>
        <w:lvlJc w:val="left"/>
        <w:pPr>
          <w:ind w:left="4464" w:hanging="1224"/>
        </w:pPr>
        <w:rPr>
          <w:rFonts w:hint="default"/>
        </w:rPr>
      </w:lvl>
    </w:lvlOverride>
    <w:lvlOverride w:ilvl="8">
      <w:lvl w:ilvl="8">
        <w:start w:val="1"/>
        <w:numFmt w:val="decimal"/>
        <w:lvlText w:val="%1.%2.%3.%4.%5.%6.%7.%8.%9."/>
        <w:lvlJc w:val="left"/>
        <w:pPr>
          <w:ind w:left="5040" w:hanging="1440"/>
        </w:pPr>
        <w:rPr>
          <w:rFonts w:hint="default"/>
        </w:rPr>
      </w:lvl>
    </w:lvlOverride>
  </w:num>
  <w:num w:numId="2">
    <w:abstractNumId w:val="6"/>
  </w:num>
  <w:num w:numId="3">
    <w:abstractNumId w:val="5"/>
  </w:num>
  <w:num w:numId="4">
    <w:abstractNumId w:val="4"/>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00D"/>
    <w:rsid w:val="00094352"/>
    <w:rsid w:val="000F6B44"/>
    <w:rsid w:val="0011543E"/>
    <w:rsid w:val="001C62D7"/>
    <w:rsid w:val="002216AC"/>
    <w:rsid w:val="002315F5"/>
    <w:rsid w:val="002C0534"/>
    <w:rsid w:val="00433DF8"/>
    <w:rsid w:val="00435836"/>
    <w:rsid w:val="00444A4B"/>
    <w:rsid w:val="00496BB2"/>
    <w:rsid w:val="004A1B82"/>
    <w:rsid w:val="004E55EA"/>
    <w:rsid w:val="00543718"/>
    <w:rsid w:val="005B77EC"/>
    <w:rsid w:val="005F2E36"/>
    <w:rsid w:val="005F6676"/>
    <w:rsid w:val="006C3276"/>
    <w:rsid w:val="00712E72"/>
    <w:rsid w:val="007238B7"/>
    <w:rsid w:val="00727307"/>
    <w:rsid w:val="007656AE"/>
    <w:rsid w:val="00770D22"/>
    <w:rsid w:val="00806FD7"/>
    <w:rsid w:val="0084600D"/>
    <w:rsid w:val="008721E3"/>
    <w:rsid w:val="00911FD1"/>
    <w:rsid w:val="00913F14"/>
    <w:rsid w:val="0092204D"/>
    <w:rsid w:val="009A3B41"/>
    <w:rsid w:val="00A54870"/>
    <w:rsid w:val="00AC696C"/>
    <w:rsid w:val="00CC3E74"/>
    <w:rsid w:val="00CE5AB9"/>
    <w:rsid w:val="00CF723E"/>
    <w:rsid w:val="00D31814"/>
    <w:rsid w:val="00D3432A"/>
    <w:rsid w:val="00DA5343"/>
    <w:rsid w:val="00DB5B39"/>
    <w:rsid w:val="00DE6642"/>
    <w:rsid w:val="00E658C2"/>
    <w:rsid w:val="00F13303"/>
    <w:rsid w:val="00F16408"/>
    <w:rsid w:val="00F65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2E48BE"/>
  <w15:docId w15:val="{A757C920-B618-4A3A-89E4-783AEBEF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0D"/>
    <w:rPr>
      <w:rFonts w:ascii="Arial" w:eastAsia="Times New Roman" w:hAnsi="Arial"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6642"/>
    <w:pPr>
      <w:spacing w:after="120"/>
      <w:ind w:left="567" w:hanging="567"/>
      <w:contextualSpacing/>
    </w:pPr>
    <w:rPr>
      <w:rFonts w:eastAsiaTheme="minorHAnsi" w:cstheme="minorBidi"/>
      <w:szCs w:val="22"/>
      <w:lang w:eastAsia="en-US"/>
    </w:rPr>
  </w:style>
  <w:style w:type="character" w:customStyle="1" w:styleId="ListParagraphChar">
    <w:name w:val="List Paragraph Char"/>
    <w:basedOn w:val="DefaultParagraphFont"/>
    <w:link w:val="ListParagraph"/>
    <w:uiPriority w:val="34"/>
    <w:rsid w:val="00DE6642"/>
    <w:rPr>
      <w:rFonts w:ascii="Arial" w:hAnsi="Arial"/>
      <w:sz w:val="22"/>
      <w:szCs w:val="22"/>
    </w:rPr>
  </w:style>
  <w:style w:type="character" w:customStyle="1" w:styleId="NoSpacingChar">
    <w:name w:val="No Spacing Char"/>
    <w:link w:val="NoSpacing"/>
    <w:uiPriority w:val="1"/>
    <w:locked/>
    <w:rsid w:val="00094352"/>
  </w:style>
  <w:style w:type="paragraph" w:styleId="NoSpacing">
    <w:name w:val="No Spacing"/>
    <w:link w:val="NoSpacingChar"/>
    <w:uiPriority w:val="1"/>
    <w:qFormat/>
    <w:rsid w:val="00094352"/>
    <w:pPr>
      <w:widowControl w:val="0"/>
    </w:pPr>
  </w:style>
  <w:style w:type="character" w:styleId="CommentReference">
    <w:name w:val="annotation reference"/>
    <w:basedOn w:val="DefaultParagraphFont"/>
    <w:uiPriority w:val="99"/>
    <w:semiHidden/>
    <w:unhideWhenUsed/>
    <w:rsid w:val="00F651D2"/>
    <w:rPr>
      <w:sz w:val="16"/>
      <w:szCs w:val="16"/>
    </w:rPr>
  </w:style>
  <w:style w:type="paragraph" w:styleId="CommentText">
    <w:name w:val="annotation text"/>
    <w:basedOn w:val="Normal"/>
    <w:link w:val="CommentTextChar"/>
    <w:uiPriority w:val="99"/>
    <w:semiHidden/>
    <w:unhideWhenUsed/>
    <w:rsid w:val="00F651D2"/>
    <w:rPr>
      <w:sz w:val="20"/>
      <w:szCs w:val="20"/>
    </w:rPr>
  </w:style>
  <w:style w:type="character" w:customStyle="1" w:styleId="CommentTextChar">
    <w:name w:val="Comment Text Char"/>
    <w:basedOn w:val="DefaultParagraphFont"/>
    <w:link w:val="CommentText"/>
    <w:uiPriority w:val="99"/>
    <w:semiHidden/>
    <w:rsid w:val="00F651D2"/>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651D2"/>
    <w:rPr>
      <w:b/>
      <w:bCs/>
    </w:rPr>
  </w:style>
  <w:style w:type="character" w:customStyle="1" w:styleId="CommentSubjectChar">
    <w:name w:val="Comment Subject Char"/>
    <w:basedOn w:val="CommentTextChar"/>
    <w:link w:val="CommentSubject"/>
    <w:uiPriority w:val="99"/>
    <w:semiHidden/>
    <w:rsid w:val="00F651D2"/>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F651D2"/>
    <w:rPr>
      <w:rFonts w:ascii="Tahoma" w:hAnsi="Tahoma" w:cs="Tahoma"/>
      <w:sz w:val="16"/>
      <w:szCs w:val="16"/>
    </w:rPr>
  </w:style>
  <w:style w:type="character" w:customStyle="1" w:styleId="BalloonTextChar">
    <w:name w:val="Balloon Text Char"/>
    <w:basedOn w:val="DefaultParagraphFont"/>
    <w:link w:val="BalloonText"/>
    <w:uiPriority w:val="99"/>
    <w:semiHidden/>
    <w:rsid w:val="00F651D2"/>
    <w:rPr>
      <w:rFonts w:ascii="Tahoma" w:eastAsia="Times New Roman" w:hAnsi="Tahoma" w:cs="Tahoma"/>
      <w:sz w:val="16"/>
      <w:szCs w:val="16"/>
      <w:lang w:eastAsia="en-GB"/>
    </w:rPr>
  </w:style>
  <w:style w:type="paragraph" w:customStyle="1" w:styleId="Default">
    <w:name w:val="Default"/>
    <w:rsid w:val="002C0534"/>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2C0534"/>
    <w:rPr>
      <w:color w:val="0000FF" w:themeColor="hyperlink"/>
      <w:u w:val="single"/>
    </w:rPr>
  </w:style>
  <w:style w:type="character" w:styleId="UnresolvedMention">
    <w:name w:val="Unresolved Mention"/>
    <w:basedOn w:val="DefaultParagraphFont"/>
    <w:uiPriority w:val="99"/>
    <w:semiHidden/>
    <w:unhideWhenUsed/>
    <w:rsid w:val="00444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mperial.ac.uk/staff/tools-and-reference/quality-assurance-enhancement/programme-information/programme-specific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23884BEB-B60A-4517-B176-4B86C300B811}">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61</TotalTime>
  <Pages>1</Pages>
  <Words>419</Words>
  <Characters>2394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Harris</dc:creator>
  <cp:lastModifiedBy>Murtada, Rula</cp:lastModifiedBy>
  <cp:revision>2</cp:revision>
  <dcterms:created xsi:type="dcterms:W3CDTF">2020-10-27T13:55:00Z</dcterms:created>
  <dcterms:modified xsi:type="dcterms:W3CDTF">2020-10-27T13:55:00Z</dcterms:modified>
</cp:coreProperties>
</file>