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Default Extension="emf" ContentType="image/x-emf"/>
  <Override PartName="/word/fontTable.xml" ContentType="application/vnd.openxmlformats-officedocument.wordprocessingml.fontTable+xml"/>
  <Default Extension="bin" ContentType="application/vnd.openxmlformats-officedocument.oleObject"/>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webSettings.xml" ContentType="application/vnd.openxmlformats-officedocument.wordprocessingml.webSettings+xml"/>
  <Default Extension="rels" ContentType="application/vnd.openxmlformats-package.relationships+xml"/>
  <Override PartName="/word/numbering.xml" ContentType="application/vnd.openxmlformats-officedocument.wordprocessingml.numbering+xml"/>
  <Override PartName="/word/theme/theme1.xml" ContentType="application/vnd.openxmlformats-officedocument.theme+xml"/>
  <Default Extension="png" ContentType="image/png"/>
</Types>
</file>

<file path=_rels/.rels><?xml version="1.0" encoding="UTF-8" standalone="yes"?>
<Relationships xmlns="http://schemas.openxmlformats.org/package/2006/relationships"><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C7481E" w:rsidRDefault="00C7481E" w:rsidP="00C7481E">
      <w:pPr>
        <w:jc w:val="center"/>
        <w:rPr>
          <w:b/>
        </w:rPr>
      </w:pPr>
      <w:r w:rsidRPr="008F5A54">
        <w:rPr>
          <w:b/>
        </w:rPr>
        <w:t>Nuclear Thermal Hydraulics</w:t>
      </w:r>
    </w:p>
    <w:p w:rsidR="00C7481E" w:rsidRPr="00730637" w:rsidRDefault="00C7481E" w:rsidP="00C7481E">
      <w:pPr>
        <w:jc w:val="center"/>
        <w:rPr>
          <w:b/>
        </w:rPr>
      </w:pPr>
      <w:r w:rsidRPr="00730637">
        <w:rPr>
          <w:b/>
        </w:rPr>
        <w:t>Analytical (</w:t>
      </w:r>
      <w:proofErr w:type="spellStart"/>
      <w:r w:rsidRPr="00730637">
        <w:rPr>
          <w:b/>
        </w:rPr>
        <w:t>Matlab</w:t>
      </w:r>
      <w:proofErr w:type="spellEnd"/>
      <w:r w:rsidRPr="00730637">
        <w:rPr>
          <w:b/>
        </w:rPr>
        <w:t>) Pin and Channel Analysis</w:t>
      </w:r>
    </w:p>
    <w:p w:rsidR="00C7481E" w:rsidRDefault="00C7481E" w:rsidP="00C7481E">
      <w:pPr>
        <w:pStyle w:val="Heading2"/>
      </w:pPr>
      <w:r>
        <w:t>Objectives</w:t>
      </w:r>
    </w:p>
    <w:p w:rsidR="00C7481E" w:rsidRDefault="00C7481E" w:rsidP="00C7481E">
      <w:r>
        <w:t>This exercise is intended to</w:t>
      </w:r>
    </w:p>
    <w:p w:rsidR="00C7481E" w:rsidRDefault="00C7481E" w:rsidP="00C7481E">
      <w:r>
        <w:t>-reinforce and increase your understanding of channel analysis</w:t>
      </w:r>
    </w:p>
    <w:p w:rsidR="00C7481E" w:rsidRDefault="00C7481E" w:rsidP="00C7481E">
      <w:r>
        <w:t>-help familiarize you with typical values of the various thermal-hydraulic quantities</w:t>
      </w:r>
    </w:p>
    <w:p w:rsidR="00C7481E" w:rsidRDefault="00C7481E" w:rsidP="00C7481E">
      <w:r>
        <w:t>-allow you to investigate the concept and application of “departure from nucleate boiling”, and appreciate its limitations</w:t>
      </w:r>
      <w:r w:rsidR="00E30D0C">
        <w:t>.</w:t>
      </w:r>
    </w:p>
    <w:p w:rsidR="00C7481E" w:rsidRDefault="00C7481E" w:rsidP="00C7481E"/>
    <w:p w:rsidR="00C7481E" w:rsidRDefault="00C7481E" w:rsidP="00C7481E">
      <w:pPr>
        <w:pStyle w:val="Heading2"/>
      </w:pPr>
      <w:proofErr w:type="spellStart"/>
      <w:r>
        <w:t>a_TFINTERACTIVE</w:t>
      </w:r>
      <w:proofErr w:type="spellEnd"/>
      <w:r>
        <w:t xml:space="preserve"> </w:t>
      </w:r>
    </w:p>
    <w:p w:rsidR="00C7481E" w:rsidRDefault="00C7481E" w:rsidP="00C7481E">
      <w:proofErr w:type="spellStart"/>
      <w:proofErr w:type="gramStart"/>
      <w:r>
        <w:t>a</w:t>
      </w:r>
      <w:proofErr w:type="gramEnd"/>
      <w:r>
        <w:t>_TFINTERACTIVE</w:t>
      </w:r>
      <w:proofErr w:type="spellEnd"/>
      <w:r>
        <w:t xml:space="preserve"> is a direct implementation of the equations presented in the notes on channel analysis.</w:t>
      </w:r>
    </w:p>
    <w:p w:rsidR="00C7481E" w:rsidRDefault="00C7481E" w:rsidP="00C7481E">
      <w:proofErr w:type="gramStart"/>
      <w:r>
        <w:t>a</w:t>
      </w:r>
      <w:proofErr w:type="gramEnd"/>
      <w:r>
        <w:t>_ TFINTERACTIVE comes with reactor types AGR, PWR and PW2 'built-in'. Additional types (</w:t>
      </w:r>
      <w:proofErr w:type="spellStart"/>
      <w:r>
        <w:t>eg</w:t>
      </w:r>
      <w:proofErr w:type="spellEnd"/>
      <w:r>
        <w:t xml:space="preserve"> RE1, RE2; they must have 3-character names) can readily be added; just examine the code and follow the same approach.</w:t>
      </w:r>
    </w:p>
    <w:p w:rsidR="00C7481E" w:rsidRDefault="00C7481E" w:rsidP="00C7481E">
      <w:r>
        <w:t xml:space="preserve">Run </w:t>
      </w:r>
      <w:proofErr w:type="spellStart"/>
      <w:r>
        <w:t>a_TFINTERACTIVE</w:t>
      </w:r>
      <w:proofErr w:type="spellEnd"/>
      <w:r>
        <w:t xml:space="preserve"> simply by typing </w:t>
      </w:r>
      <w:proofErr w:type="spellStart"/>
      <w:r>
        <w:t>a_TFINTERACTIVE</w:t>
      </w:r>
      <w:proofErr w:type="spellEnd"/>
      <w:r>
        <w:t xml:space="preserve"> at the </w:t>
      </w:r>
      <w:proofErr w:type="spellStart"/>
      <w:r>
        <w:t>Matlab</w:t>
      </w:r>
      <w:proofErr w:type="spellEnd"/>
      <w:r>
        <w:t xml:space="preserve"> prompt. (You will of course need to set your </w:t>
      </w:r>
      <w:proofErr w:type="spellStart"/>
      <w:r>
        <w:t>Matlab</w:t>
      </w:r>
      <w:proofErr w:type="spellEnd"/>
      <w:r>
        <w:t xml:space="preserve"> paths appropriately.</w:t>
      </w:r>
    </w:p>
    <w:p w:rsidR="00C7481E" w:rsidRDefault="00C7481E" w:rsidP="00C7481E">
      <w:r>
        <w:t>There is no documentation beyond internal comments and the text it writes to the screen; the code is heavily commented, and your lecture notes provide the mathematical / physics background.</w:t>
      </w:r>
    </w:p>
    <w:p w:rsidR="00C7481E" w:rsidRDefault="00C7481E" w:rsidP="00C7481E">
      <w:r>
        <w:t>The exercise is structured as a series of questions.</w:t>
      </w:r>
    </w:p>
    <w:p w:rsidR="00E30D0C" w:rsidRDefault="00E30D0C" w:rsidP="00C7481E">
      <w:pPr>
        <w:rPr>
          <w:b/>
        </w:rPr>
      </w:pPr>
    </w:p>
    <w:p w:rsidR="00C7481E" w:rsidRPr="00267FF2" w:rsidRDefault="00C7481E" w:rsidP="00E30D0C">
      <w:pPr>
        <w:pStyle w:val="Heading1Numbered"/>
      </w:pPr>
      <w:r w:rsidRPr="00267FF2">
        <w:t>Basic model</w:t>
      </w:r>
    </w:p>
    <w:p w:rsidR="00C7481E" w:rsidRDefault="00C7481E" w:rsidP="00C7481E">
      <w:r w:rsidRPr="001262F5">
        <w:t xml:space="preserve">Run </w:t>
      </w:r>
      <w:proofErr w:type="spellStart"/>
      <w:r w:rsidRPr="001262F5">
        <w:t>a_TF_INTERACTIVE</w:t>
      </w:r>
      <w:proofErr w:type="spellEnd"/>
      <w:r w:rsidRPr="001262F5">
        <w:t xml:space="preserve"> for the PWR </w:t>
      </w:r>
      <w:r w:rsidR="00E30D0C">
        <w:t xml:space="preserve">and AGR </w:t>
      </w:r>
      <w:r w:rsidRPr="001262F5">
        <w:t>case</w:t>
      </w:r>
      <w:r w:rsidR="00E30D0C">
        <w:t>s</w:t>
      </w:r>
      <w:r w:rsidRPr="001262F5">
        <w:t xml:space="preserve"> </w:t>
      </w:r>
      <w:r w:rsidR="00E30D0C">
        <w:t>provided.</w:t>
      </w:r>
      <w:r>
        <w:t xml:space="preserve"> Comment on the thermal conditions predicted in comparison to those predicted for the AGR case provided.</w:t>
      </w:r>
    </w:p>
    <w:p w:rsidR="00C7481E" w:rsidRDefault="00C7481E" w:rsidP="00C7481E"/>
    <w:p w:rsidR="00C7481E" w:rsidRPr="00267FF2" w:rsidRDefault="00C7481E" w:rsidP="00E30D0C">
      <w:pPr>
        <w:pStyle w:val="Heading1Numbered"/>
      </w:pPr>
      <w:r w:rsidRPr="00267FF2">
        <w:t>Improved axial flux variation</w:t>
      </w:r>
    </w:p>
    <w:p w:rsidR="00C7481E" w:rsidRDefault="00C7481E" w:rsidP="00C7481E">
      <w:r>
        <w:t xml:space="preserve">Real reactors have axial flux variations significantly different from </w:t>
      </w:r>
      <w:r w:rsidR="00DA21EC" w:rsidRPr="00DA21EC">
        <w:rPr>
          <w:position w:val="-28"/>
        </w:rPr>
        <w:object w:dxaOrig="19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5pt;height:34pt" o:ole="">
            <v:imagedata r:id="rId5" o:title=""/>
          </v:shape>
          <o:OLEObject Type="Embed" ProgID="Equation.DSMT4" ShapeID="_x0000_i1025" DrawAspect="Content" ObjectID="_1317442689" r:id="rId6"/>
        </w:object>
      </w:r>
      <w:proofErr w:type="gramStart"/>
      <w:r>
        <w:t xml:space="preserve"> .</w:t>
      </w:r>
      <w:proofErr w:type="gramEnd"/>
    </w:p>
    <w:p w:rsidR="00C7481E" w:rsidRDefault="00C7481E" w:rsidP="00C7481E">
      <w:r>
        <w:t>A better model is</w:t>
      </w:r>
    </w:p>
    <w:p w:rsidR="00C7481E" w:rsidRDefault="00C7481E" w:rsidP="00C7481E">
      <w:pPr>
        <w:pStyle w:val="MTDisplayEquation"/>
      </w:pPr>
      <w:r>
        <w:tab/>
      </w:r>
      <w:r w:rsidR="00DA21EC" w:rsidRPr="00DA21EC">
        <w:rPr>
          <w:position w:val="-30"/>
        </w:rPr>
        <w:object w:dxaOrig="3320" w:dyaOrig="740">
          <v:shape id="_x0000_i1026" type="#_x0000_t75" style="width:165.85pt;height:37.2pt" o:ole="">
            <v:imagedata r:id="rId7" o:title=""/>
          </v:shape>
          <o:OLEObject Type="Embed" ProgID="Equation.DSMT4" ShapeID="_x0000_i1026" DrawAspect="Content" ObjectID="_1317442690" r:id="rId8"/>
        </w:object>
      </w:r>
      <w:r>
        <w:t xml:space="preserve"> </w:t>
      </w:r>
    </w:p>
    <w:p w:rsidR="00C7481E" w:rsidRDefault="00C7481E" w:rsidP="00C7481E">
      <w:proofErr w:type="gramStart"/>
      <w:r>
        <w:t>where</w:t>
      </w:r>
      <w:proofErr w:type="gramEnd"/>
      <w:r>
        <w:t xml:space="preserve"> </w:t>
      </w:r>
      <w:r>
        <w:rPr>
          <w:i/>
        </w:rPr>
        <w:t>L</w:t>
      </w:r>
      <w:r>
        <w:rPr>
          <w:i/>
          <w:vertAlign w:val="subscript"/>
        </w:rPr>
        <w:t>e</w:t>
      </w:r>
      <w:r>
        <w:t xml:space="preserve"> is some ‘extrapolated length’ slightly greater than the channel length.</w:t>
      </w:r>
    </w:p>
    <w:p w:rsidR="00C7481E" w:rsidRDefault="00C7481E" w:rsidP="00C7481E">
      <w:r>
        <w:t xml:space="preserve">Modify </w:t>
      </w:r>
      <w:proofErr w:type="spellStart"/>
      <w:r>
        <w:t>a_TFINTERACTIVE</w:t>
      </w:r>
      <w:proofErr w:type="spellEnd"/>
      <w:r>
        <w:t xml:space="preserve"> to model this. This will generate the need for an additional item of data; the extrapolated length. You can either add this using the same interactive approach as the other data, or simply add a hard-coded line, which is less elegant but easier to implement.</w:t>
      </w:r>
    </w:p>
    <w:p w:rsidR="00C7481E" w:rsidRDefault="00C7481E" w:rsidP="00C7481E">
      <w:r>
        <w:t>Comment on the changed thermal conditions.</w:t>
      </w:r>
    </w:p>
    <w:p w:rsidR="00C7481E" w:rsidRDefault="00C7481E" w:rsidP="00C7481E"/>
    <w:p w:rsidR="00C7481E" w:rsidRDefault="00C7481E" w:rsidP="00E30D0C">
      <w:pPr>
        <w:pStyle w:val="Heading1Numbered"/>
      </w:pPr>
      <w:r w:rsidRPr="003164E7">
        <w:t>Departure from nucleate boiling (‘Critical Heat Flux’</w:t>
      </w:r>
      <w:r>
        <w:t>)</w:t>
      </w:r>
    </w:p>
    <w:p w:rsidR="00C7481E" w:rsidRDefault="00C7481E" w:rsidP="00C7481E">
      <w:r>
        <w:t xml:space="preserve">Evaluate the “departure from nucleate boiling ratio” (DNBR) variation along your channel. </w:t>
      </w:r>
    </w:p>
    <w:p w:rsidR="00C7481E" w:rsidRPr="008022FD" w:rsidRDefault="00C7481E" w:rsidP="00C7481E">
      <w:r>
        <w:t xml:space="preserve">This will require you know what the departure from nucleate boiling is, and how it is predicted using correlations based on measurements. Learning this is one of the main outputs for you from this present exercise. </w:t>
      </w:r>
      <w:r w:rsidRPr="004A4800">
        <w:t>The book by Tong (</w:t>
      </w:r>
      <w:r w:rsidRPr="004A4800">
        <w:rPr>
          <w:rFonts w:eastAsiaTheme="minorEastAsia"/>
        </w:rPr>
        <w:t>Tong, L. S. and Y. S. Tang (1997). Boiling Heat Transfer and Two-phase Flow,</w:t>
      </w:r>
      <w:r>
        <w:rPr>
          <w:rFonts w:eastAsiaTheme="minorEastAsia"/>
        </w:rPr>
        <w:t xml:space="preserve"> Taylor and Francis, Washington</w:t>
      </w:r>
      <w:r>
        <w:t>) gives a good introduction, as does the report by Hewitt &amp; Walker.</w:t>
      </w:r>
      <w:r w:rsidR="00957B6B">
        <w:t xml:space="preserve"> </w:t>
      </w:r>
      <w:r>
        <w:t>There are various correlations; ‘W3’</w:t>
      </w:r>
      <w:r w:rsidR="003A7B21">
        <w:t xml:space="preserve"> and Tong-68 are</w:t>
      </w:r>
      <w:r>
        <w:t xml:space="preserve"> a good, general purpose one</w:t>
      </w:r>
      <w:r w:rsidR="00CB0203">
        <w:t>s</w:t>
      </w:r>
      <w:r>
        <w:t>.</w:t>
      </w:r>
    </w:p>
    <w:p w:rsidR="00C7481E" w:rsidRDefault="003A7B21" w:rsidP="00C7481E">
      <w:r>
        <w:t xml:space="preserve">The Tong-68 </w:t>
      </w:r>
      <w:r w:rsidR="00C7481E">
        <w:t>correlation predicts CHF</w:t>
      </w:r>
      <w:r w:rsidR="00C7481E" w:rsidRPr="000D4204">
        <w:t xml:space="preserve"> a</w:t>
      </w:r>
      <w:r w:rsidR="00C36B3E">
        <w:t>s function of local bulk temperature</w:t>
      </w:r>
      <w:r w:rsidR="00C7481E" w:rsidRPr="000D4204">
        <w:t>, pressure and coolant mass flux:</w:t>
      </w:r>
    </w:p>
    <w:p w:rsidR="00C7481E" w:rsidRDefault="0090031E" w:rsidP="003A7B21">
      <w:pPr>
        <w:pStyle w:val="MTDisplayEquation"/>
        <w:jc w:val="center"/>
      </w:pPr>
      <w:r w:rsidRPr="0090031E">
        <w:rPr>
          <w:noProof/>
          <w:sz w:val="18"/>
          <w:lang w:eastAsia="en-US"/>
        </w:rPr>
        <w:drawing>
          <wp:inline distT="0" distB="0" distL="0" distR="0">
            <wp:extent cx="1828800" cy="5741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765" cy="574110"/>
                    </a:xfrm>
                    <a:prstGeom prst="rect">
                      <a:avLst/>
                    </a:prstGeom>
                    <a:noFill/>
                    <a:ln>
                      <a:noFill/>
                    </a:ln>
                  </pic:spPr>
                </pic:pic>
              </a:graphicData>
            </a:graphic>
          </wp:inline>
        </w:drawing>
      </w:r>
    </w:p>
    <w:p w:rsidR="00C7481E" w:rsidRDefault="00C7481E" w:rsidP="00C7481E">
      <w:proofErr w:type="gramStart"/>
      <w:r>
        <w:t>where</w:t>
      </w:r>
      <w:proofErr w:type="gramEnd"/>
      <w:r>
        <w:t>:</w:t>
      </w:r>
    </w:p>
    <w:p w:rsidR="00C7481E" w:rsidRDefault="00C7481E" w:rsidP="00DA21EC">
      <w:pPr>
        <w:pStyle w:val="MTDisplayEquation"/>
        <w:jc w:val="center"/>
      </w:pPr>
    </w:p>
    <w:p w:rsidR="00C7481E" w:rsidRPr="000E76A2" w:rsidRDefault="0090031E" w:rsidP="00DA21EC">
      <w:pPr>
        <w:pStyle w:val="MTDisplayEquation"/>
        <w:jc w:val="center"/>
      </w:pPr>
      <w:r>
        <w:rPr>
          <w:noProof/>
          <w:lang w:eastAsia="en-US"/>
        </w:rPr>
        <w:drawing>
          <wp:inline distT="0" distB="0" distL="0" distR="0">
            <wp:extent cx="2474259" cy="337733"/>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5163" cy="337856"/>
                    </a:xfrm>
                    <a:prstGeom prst="rect">
                      <a:avLst/>
                    </a:prstGeom>
                    <a:noFill/>
                    <a:ln>
                      <a:noFill/>
                    </a:ln>
                  </pic:spPr>
                </pic:pic>
              </a:graphicData>
            </a:graphic>
          </wp:inline>
        </w:drawing>
      </w:r>
    </w:p>
    <w:p w:rsidR="000E76A2" w:rsidRPr="000E76A2" w:rsidRDefault="000E76A2" w:rsidP="000E76A2"/>
    <w:p w:rsidR="00C7481E" w:rsidRDefault="0090031E" w:rsidP="00DA21EC">
      <w:pPr>
        <w:pStyle w:val="MTDisplayEquation"/>
        <w:jc w:val="center"/>
      </w:pPr>
      <w:r>
        <w:rPr>
          <w:noProof/>
          <w:lang w:eastAsia="en-US"/>
        </w:rPr>
        <w:drawing>
          <wp:inline distT="0" distB="0" distL="0" distR="0">
            <wp:extent cx="1552174" cy="4855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2042" cy="485473"/>
                    </a:xfrm>
                    <a:prstGeom prst="rect">
                      <a:avLst/>
                    </a:prstGeom>
                    <a:noFill/>
                    <a:ln>
                      <a:noFill/>
                    </a:ln>
                  </pic:spPr>
                </pic:pic>
              </a:graphicData>
            </a:graphic>
          </wp:inline>
        </w:drawing>
      </w:r>
      <w:bookmarkStart w:id="0" w:name="_GoBack"/>
      <w:bookmarkEnd w:id="0"/>
    </w:p>
    <w:p w:rsidR="00C7481E" w:rsidRDefault="00C7481E" w:rsidP="00DA21EC">
      <w:pPr>
        <w:pStyle w:val="MTDisplayEquation"/>
        <w:jc w:val="center"/>
      </w:pPr>
    </w:p>
    <w:p w:rsidR="00C7481E" w:rsidRPr="000D4204" w:rsidRDefault="00C7481E" w:rsidP="00C7481E">
      <w:pPr>
        <w:rPr>
          <w:rFonts w:ascii="Arial" w:hAnsi="Arial"/>
        </w:rPr>
      </w:pPr>
      <w:r>
        <w:rPr>
          <w:rFonts w:ascii="Arial" w:hAnsi="Arial"/>
        </w:rPr>
        <w:t>Notation:</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A0"/>
      </w:tblPr>
      <w:tblGrid>
        <w:gridCol w:w="1242"/>
        <w:gridCol w:w="1843"/>
        <w:gridCol w:w="5431"/>
      </w:tblGrid>
      <w:tr w:rsidR="00C7481E" w:rsidRPr="000D4204">
        <w:tc>
          <w:tcPr>
            <w:tcW w:w="1242" w:type="dxa"/>
          </w:tcPr>
          <w:p w:rsidR="00C7481E" w:rsidRPr="000D4204" w:rsidRDefault="00DA21EC" w:rsidP="00DA21EC">
            <w:pPr>
              <w:jc w:val="center"/>
              <w:rPr>
                <w:rFonts w:ascii="Arial" w:hAnsi="Arial"/>
              </w:rPr>
            </w:pPr>
            <w:r w:rsidRPr="00DA21EC">
              <w:rPr>
                <w:rFonts w:ascii="Arial" w:hAnsi="Arial"/>
                <w:position w:val="-10"/>
                <w:lang w:eastAsia="ja-JP"/>
              </w:rPr>
              <w:object w:dxaOrig="260" w:dyaOrig="320">
                <v:shape id="_x0000_i1027" type="#_x0000_t75" style="width:12.95pt;height:15.35pt" o:ole="">
                  <v:imagedata r:id="rId12" o:title=""/>
                </v:shape>
                <o:OLEObject Type="Embed" ProgID="Equation.DSMT4" ShapeID="_x0000_i1027" DrawAspect="Content" ObjectID="_1317442691" r:id="rId13"/>
              </w:object>
            </w:r>
          </w:p>
        </w:tc>
        <w:tc>
          <w:tcPr>
            <w:tcW w:w="1843" w:type="dxa"/>
          </w:tcPr>
          <w:p w:rsidR="00C7481E" w:rsidRPr="000D4204" w:rsidRDefault="00C7481E" w:rsidP="006559A7">
            <w:pPr>
              <w:jc w:val="center"/>
              <w:rPr>
                <w:rFonts w:ascii="Arial" w:hAnsi="Arial"/>
              </w:rPr>
            </w:pPr>
            <w:r w:rsidRPr="000D4204">
              <w:rPr>
                <w:rFonts w:ascii="Arial" w:hAnsi="Arial"/>
              </w:rPr>
              <w:t>kW/m^2</w:t>
            </w:r>
          </w:p>
        </w:tc>
        <w:tc>
          <w:tcPr>
            <w:tcW w:w="5431" w:type="dxa"/>
          </w:tcPr>
          <w:p w:rsidR="00C7481E" w:rsidRPr="000D4204" w:rsidRDefault="00C7481E" w:rsidP="006559A7">
            <w:pPr>
              <w:rPr>
                <w:rFonts w:ascii="Arial" w:hAnsi="Arial"/>
              </w:rPr>
            </w:pPr>
            <w:r w:rsidRPr="000D4204">
              <w:rPr>
                <w:rFonts w:ascii="Arial" w:hAnsi="Arial"/>
              </w:rPr>
              <w:t>critical heat flux</w:t>
            </w:r>
          </w:p>
        </w:tc>
      </w:tr>
      <w:tr w:rsidR="00C7481E" w:rsidRPr="000D4204">
        <w:tc>
          <w:tcPr>
            <w:tcW w:w="1242" w:type="dxa"/>
          </w:tcPr>
          <w:p w:rsidR="00C7481E" w:rsidRPr="000D4204" w:rsidRDefault="00C7481E" w:rsidP="006559A7">
            <w:pPr>
              <w:jc w:val="center"/>
              <w:rPr>
                <w:rFonts w:ascii="Arial" w:hAnsi="Arial"/>
              </w:rPr>
            </w:pPr>
            <w:r w:rsidRPr="000D4204">
              <w:rPr>
                <w:rFonts w:ascii="Arial" w:hAnsi="Arial"/>
              </w:rPr>
              <w:t>p</w:t>
            </w:r>
          </w:p>
        </w:tc>
        <w:tc>
          <w:tcPr>
            <w:tcW w:w="1843" w:type="dxa"/>
          </w:tcPr>
          <w:p w:rsidR="00C7481E" w:rsidRPr="000D4204" w:rsidRDefault="00C7481E" w:rsidP="006559A7">
            <w:pPr>
              <w:jc w:val="center"/>
              <w:rPr>
                <w:rFonts w:ascii="Arial" w:hAnsi="Arial"/>
              </w:rPr>
            </w:pPr>
            <w:proofErr w:type="spellStart"/>
            <w:r w:rsidRPr="000D4204">
              <w:rPr>
                <w:rFonts w:ascii="Arial" w:hAnsi="Arial"/>
              </w:rPr>
              <w:t>MPa</w:t>
            </w:r>
            <w:proofErr w:type="spellEnd"/>
          </w:p>
        </w:tc>
        <w:tc>
          <w:tcPr>
            <w:tcW w:w="5431" w:type="dxa"/>
          </w:tcPr>
          <w:p w:rsidR="00C7481E" w:rsidRPr="000D4204" w:rsidRDefault="00C7481E" w:rsidP="006559A7">
            <w:pPr>
              <w:rPr>
                <w:rFonts w:ascii="Arial" w:hAnsi="Arial"/>
              </w:rPr>
            </w:pPr>
            <w:r w:rsidRPr="000D4204">
              <w:rPr>
                <w:rFonts w:ascii="Arial" w:hAnsi="Arial"/>
              </w:rPr>
              <w:t>pressure</w:t>
            </w:r>
          </w:p>
        </w:tc>
      </w:tr>
      <w:tr w:rsidR="00C7481E" w:rsidRPr="000D4204">
        <w:tc>
          <w:tcPr>
            <w:tcW w:w="1242" w:type="dxa"/>
          </w:tcPr>
          <w:p w:rsidR="00C7481E" w:rsidRPr="000D4204" w:rsidRDefault="00DA21EC" w:rsidP="00DA21EC">
            <w:pPr>
              <w:jc w:val="center"/>
              <w:rPr>
                <w:rFonts w:ascii="Arial" w:hAnsi="Arial"/>
              </w:rPr>
            </w:pPr>
            <w:r w:rsidRPr="00DA21EC">
              <w:rPr>
                <w:rFonts w:ascii="Arial" w:hAnsi="Arial"/>
                <w:position w:val="-10"/>
                <w:lang w:eastAsia="ja-JP"/>
              </w:rPr>
              <w:object w:dxaOrig="260" w:dyaOrig="320">
                <v:shape id="_x0000_i1028" type="#_x0000_t75" style="width:12.95pt;height:15.35pt" o:ole="">
                  <v:imagedata r:id="rId14" o:title=""/>
                </v:shape>
                <o:OLEObject Type="Embed" ProgID="Equation.DSMT4" ShapeID="_x0000_i1028" DrawAspect="Content" ObjectID="_1317442692" r:id="rId15"/>
              </w:object>
            </w:r>
          </w:p>
        </w:tc>
        <w:tc>
          <w:tcPr>
            <w:tcW w:w="1843" w:type="dxa"/>
          </w:tcPr>
          <w:p w:rsidR="00C7481E" w:rsidRPr="000D4204" w:rsidRDefault="00C7481E" w:rsidP="006559A7">
            <w:pPr>
              <w:jc w:val="center"/>
              <w:rPr>
                <w:rFonts w:ascii="Arial" w:hAnsi="Arial"/>
              </w:rPr>
            </w:pPr>
          </w:p>
        </w:tc>
        <w:tc>
          <w:tcPr>
            <w:tcW w:w="5431" w:type="dxa"/>
          </w:tcPr>
          <w:p w:rsidR="00C7481E" w:rsidRPr="000D4204" w:rsidRDefault="00C7481E" w:rsidP="006559A7">
            <w:pPr>
              <w:rPr>
                <w:rFonts w:ascii="Arial" w:hAnsi="Arial"/>
              </w:rPr>
            </w:pPr>
            <w:r w:rsidRPr="000D4204">
              <w:rPr>
                <w:rFonts w:ascii="Arial" w:hAnsi="Arial"/>
              </w:rPr>
              <w:t>local quality</w:t>
            </w:r>
          </w:p>
        </w:tc>
      </w:tr>
      <w:tr w:rsidR="00C7481E" w:rsidRPr="000D4204">
        <w:tc>
          <w:tcPr>
            <w:tcW w:w="1242" w:type="dxa"/>
          </w:tcPr>
          <w:p w:rsidR="00C7481E" w:rsidRPr="000D4204" w:rsidRDefault="00DA21EC" w:rsidP="00DA21EC">
            <w:pPr>
              <w:jc w:val="center"/>
              <w:rPr>
                <w:rFonts w:ascii="Arial" w:hAnsi="Arial"/>
              </w:rPr>
            </w:pPr>
            <w:r w:rsidRPr="00DA21EC">
              <w:rPr>
                <w:rFonts w:ascii="Arial" w:hAnsi="Arial"/>
                <w:position w:val="-10"/>
                <w:lang w:eastAsia="ja-JP"/>
              </w:rPr>
              <w:object w:dxaOrig="320" w:dyaOrig="320">
                <v:shape id="_x0000_i1029" type="#_x0000_t75" style="width:15.35pt;height:15.35pt" o:ole="">
                  <v:imagedata r:id="rId16" o:title=""/>
                </v:shape>
                <o:OLEObject Type="Embed" ProgID="Equation.DSMT4" ShapeID="_x0000_i1029" DrawAspect="Content" ObjectID="_1317442693" r:id="rId17"/>
              </w:object>
            </w:r>
          </w:p>
        </w:tc>
        <w:tc>
          <w:tcPr>
            <w:tcW w:w="1843" w:type="dxa"/>
          </w:tcPr>
          <w:p w:rsidR="00C7481E" w:rsidRPr="000D4204" w:rsidRDefault="00C7481E" w:rsidP="006559A7">
            <w:pPr>
              <w:jc w:val="center"/>
              <w:rPr>
                <w:rFonts w:ascii="Arial" w:hAnsi="Arial"/>
              </w:rPr>
            </w:pPr>
            <w:r w:rsidRPr="000D4204">
              <w:rPr>
                <w:rFonts w:ascii="Arial" w:hAnsi="Arial"/>
              </w:rPr>
              <w:t>m</w:t>
            </w:r>
          </w:p>
        </w:tc>
        <w:tc>
          <w:tcPr>
            <w:tcW w:w="5431" w:type="dxa"/>
          </w:tcPr>
          <w:p w:rsidR="00C7481E" w:rsidRPr="000D4204" w:rsidRDefault="00C7481E" w:rsidP="006559A7">
            <w:pPr>
              <w:rPr>
                <w:rFonts w:ascii="Arial" w:hAnsi="Arial"/>
              </w:rPr>
            </w:pPr>
            <w:r w:rsidRPr="000D4204">
              <w:rPr>
                <w:rFonts w:ascii="Arial" w:hAnsi="Arial"/>
              </w:rPr>
              <w:t>equivalent</w:t>
            </w:r>
            <w:r>
              <w:rPr>
                <w:rFonts w:ascii="Arial" w:hAnsi="Arial"/>
                <w:color w:val="000000" w:themeColor="text1"/>
              </w:rPr>
              <w:t xml:space="preserve"> hydraulic </w:t>
            </w:r>
            <w:r w:rsidRPr="000D4204">
              <w:rPr>
                <w:rFonts w:ascii="Arial" w:hAnsi="Arial"/>
              </w:rPr>
              <w:t>diameter</w:t>
            </w:r>
          </w:p>
        </w:tc>
      </w:tr>
      <w:tr w:rsidR="00C7481E" w:rsidRPr="000D4204">
        <w:tc>
          <w:tcPr>
            <w:tcW w:w="1242" w:type="dxa"/>
          </w:tcPr>
          <w:p w:rsidR="00C7481E" w:rsidRPr="000D4204" w:rsidRDefault="00C7481E" w:rsidP="006559A7">
            <w:pPr>
              <w:jc w:val="center"/>
              <w:rPr>
                <w:rFonts w:ascii="Arial" w:hAnsi="Arial"/>
              </w:rPr>
            </w:pPr>
            <w:r w:rsidRPr="000D4204">
              <w:rPr>
                <w:rFonts w:ascii="Arial" w:hAnsi="Arial"/>
              </w:rPr>
              <w:t>G</w:t>
            </w:r>
          </w:p>
        </w:tc>
        <w:tc>
          <w:tcPr>
            <w:tcW w:w="1843" w:type="dxa"/>
          </w:tcPr>
          <w:p w:rsidR="00C7481E" w:rsidRPr="000D4204" w:rsidRDefault="00C7481E" w:rsidP="006559A7">
            <w:pPr>
              <w:jc w:val="center"/>
              <w:rPr>
                <w:rFonts w:ascii="Arial" w:hAnsi="Arial"/>
              </w:rPr>
            </w:pPr>
            <w:r w:rsidRPr="000D4204">
              <w:rPr>
                <w:rFonts w:ascii="Arial" w:hAnsi="Arial"/>
              </w:rPr>
              <w:t>Kg/m^2.s</w:t>
            </w:r>
          </w:p>
        </w:tc>
        <w:tc>
          <w:tcPr>
            <w:tcW w:w="5431" w:type="dxa"/>
          </w:tcPr>
          <w:p w:rsidR="00C7481E" w:rsidRPr="000D4204" w:rsidRDefault="00C7481E" w:rsidP="006559A7">
            <w:pPr>
              <w:rPr>
                <w:rFonts w:ascii="Arial" w:hAnsi="Arial"/>
              </w:rPr>
            </w:pPr>
            <w:r w:rsidRPr="000D4204">
              <w:rPr>
                <w:rFonts w:ascii="Arial" w:hAnsi="Arial"/>
              </w:rPr>
              <w:t>mass flux</w:t>
            </w:r>
          </w:p>
        </w:tc>
      </w:tr>
      <w:tr w:rsidR="00C7481E" w:rsidRPr="000D4204">
        <w:tc>
          <w:tcPr>
            <w:tcW w:w="1242" w:type="dxa"/>
          </w:tcPr>
          <w:p w:rsidR="00C7481E" w:rsidRPr="000D4204" w:rsidRDefault="002039CD" w:rsidP="00DA21EC">
            <w:pPr>
              <w:jc w:val="center"/>
              <w:rPr>
                <w:rFonts w:ascii="Arial" w:hAnsi="Arial"/>
              </w:rPr>
            </w:pPr>
            <w:proofErr w:type="spellStart"/>
            <w:r>
              <w:rPr>
                <w:rFonts w:ascii="Arial" w:hAnsi="Arial"/>
                <w:lang w:eastAsia="ja-JP"/>
              </w:rPr>
              <w:t>h</w:t>
            </w:r>
            <w:r w:rsidRPr="002039CD">
              <w:rPr>
                <w:rFonts w:ascii="Arial" w:hAnsi="Arial"/>
                <w:vertAlign w:val="subscript"/>
                <w:lang w:eastAsia="ja-JP"/>
              </w:rPr>
              <w:t>fg</w:t>
            </w:r>
            <w:proofErr w:type="spellEnd"/>
          </w:p>
        </w:tc>
        <w:tc>
          <w:tcPr>
            <w:tcW w:w="1843" w:type="dxa"/>
          </w:tcPr>
          <w:p w:rsidR="00C7481E" w:rsidRPr="000D4204" w:rsidRDefault="00C7481E" w:rsidP="006559A7">
            <w:pPr>
              <w:jc w:val="center"/>
              <w:rPr>
                <w:rFonts w:ascii="Arial" w:hAnsi="Arial"/>
              </w:rPr>
            </w:pPr>
            <w:r w:rsidRPr="000D4204">
              <w:rPr>
                <w:rFonts w:ascii="Arial" w:hAnsi="Arial"/>
              </w:rPr>
              <w:t>kJ/kg</w:t>
            </w:r>
          </w:p>
        </w:tc>
        <w:tc>
          <w:tcPr>
            <w:tcW w:w="5431" w:type="dxa"/>
          </w:tcPr>
          <w:p w:rsidR="00C7481E" w:rsidRPr="000D4204" w:rsidRDefault="002039CD" w:rsidP="00C36B3E">
            <w:pPr>
              <w:rPr>
                <w:rFonts w:ascii="Arial" w:hAnsi="Arial"/>
              </w:rPr>
            </w:pPr>
            <w:r>
              <w:rPr>
                <w:rFonts w:ascii="Arial" w:hAnsi="Arial"/>
              </w:rPr>
              <w:t>Latent Heat of vaporization</w:t>
            </w:r>
          </w:p>
        </w:tc>
      </w:tr>
    </w:tbl>
    <w:p w:rsidR="00C36B3E" w:rsidRDefault="00C36B3E" w:rsidP="00C7481E"/>
    <w:p w:rsidR="00C36B3E" w:rsidRDefault="00C36B3E" w:rsidP="00C7481E">
      <w:r>
        <w:t>Reasonable values for PWR conditions (~150bar) are:</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A0"/>
      </w:tblPr>
      <w:tblGrid>
        <w:gridCol w:w="1242"/>
        <w:gridCol w:w="1843"/>
        <w:gridCol w:w="5431"/>
      </w:tblGrid>
      <w:tr w:rsidR="00C36B3E" w:rsidRPr="000D4204">
        <w:tc>
          <w:tcPr>
            <w:tcW w:w="1242" w:type="dxa"/>
          </w:tcPr>
          <w:p w:rsidR="00C36B3E" w:rsidRPr="000D4204" w:rsidRDefault="00C36B3E" w:rsidP="00DA21EC">
            <w:pPr>
              <w:jc w:val="center"/>
              <w:rPr>
                <w:rFonts w:ascii="Arial" w:hAnsi="Arial"/>
              </w:rPr>
            </w:pPr>
            <w:proofErr w:type="spellStart"/>
            <w:proofErr w:type="gramStart"/>
            <w:r>
              <w:rPr>
                <w:rFonts w:ascii="Arial" w:hAnsi="Arial"/>
                <w:lang w:eastAsia="ja-JP"/>
              </w:rPr>
              <w:t>h</w:t>
            </w:r>
            <w:r w:rsidRPr="002039CD">
              <w:rPr>
                <w:rFonts w:ascii="Arial" w:hAnsi="Arial"/>
                <w:vertAlign w:val="subscript"/>
                <w:lang w:eastAsia="ja-JP"/>
              </w:rPr>
              <w:t>fg</w:t>
            </w:r>
            <w:proofErr w:type="spellEnd"/>
            <w:proofErr w:type="gramEnd"/>
          </w:p>
        </w:tc>
        <w:tc>
          <w:tcPr>
            <w:tcW w:w="1843" w:type="dxa"/>
          </w:tcPr>
          <w:p w:rsidR="00C36B3E" w:rsidRPr="000D4204" w:rsidRDefault="00C36B3E" w:rsidP="006559A7">
            <w:pPr>
              <w:jc w:val="center"/>
              <w:rPr>
                <w:rFonts w:ascii="Arial" w:hAnsi="Arial"/>
              </w:rPr>
            </w:pPr>
            <w:proofErr w:type="gramStart"/>
            <w:r w:rsidRPr="000D4204">
              <w:rPr>
                <w:rFonts w:ascii="Arial" w:hAnsi="Arial"/>
              </w:rPr>
              <w:t>kJ</w:t>
            </w:r>
            <w:proofErr w:type="gramEnd"/>
            <w:r w:rsidRPr="000D4204">
              <w:rPr>
                <w:rFonts w:ascii="Arial" w:hAnsi="Arial"/>
              </w:rPr>
              <w:t>/kg</w:t>
            </w:r>
          </w:p>
        </w:tc>
        <w:tc>
          <w:tcPr>
            <w:tcW w:w="5431" w:type="dxa"/>
          </w:tcPr>
          <w:p w:rsidR="00C36B3E" w:rsidRPr="000D4204" w:rsidRDefault="00C36B3E" w:rsidP="006559A7">
            <w:pPr>
              <w:rPr>
                <w:rFonts w:ascii="Arial" w:hAnsi="Arial"/>
              </w:rPr>
            </w:pPr>
            <w:r>
              <w:rPr>
                <w:rFonts w:ascii="Arial" w:hAnsi="Arial"/>
              </w:rPr>
              <w:t>930.6</w:t>
            </w:r>
          </w:p>
        </w:tc>
      </w:tr>
      <w:tr w:rsidR="00C36B3E" w:rsidRPr="000D4204">
        <w:tc>
          <w:tcPr>
            <w:tcW w:w="1242" w:type="dxa"/>
          </w:tcPr>
          <w:p w:rsidR="00C36B3E" w:rsidRPr="00C36B3E" w:rsidRDefault="00C36B3E" w:rsidP="00DA21EC">
            <w:pPr>
              <w:jc w:val="center"/>
              <w:rPr>
                <w:rFonts w:ascii="Arial" w:hAnsi="Arial"/>
                <w:vertAlign w:val="subscript"/>
              </w:rPr>
            </w:pPr>
            <w:r>
              <w:rPr>
                <w:rFonts w:ascii="Arial" w:hAnsi="Arial"/>
                <w:lang w:eastAsia="ja-JP"/>
              </w:rPr>
              <w:t>T</w:t>
            </w:r>
            <w:r>
              <w:rPr>
                <w:rFonts w:ascii="Arial" w:hAnsi="Arial"/>
                <w:vertAlign w:val="subscript"/>
                <w:lang w:eastAsia="ja-JP"/>
              </w:rPr>
              <w:t>SAT</w:t>
            </w:r>
          </w:p>
        </w:tc>
        <w:tc>
          <w:tcPr>
            <w:tcW w:w="1843" w:type="dxa"/>
          </w:tcPr>
          <w:p w:rsidR="00C36B3E" w:rsidRPr="000D4204" w:rsidRDefault="00C36B3E" w:rsidP="006559A7">
            <w:pPr>
              <w:jc w:val="center"/>
              <w:rPr>
                <w:rFonts w:ascii="Arial" w:hAnsi="Arial"/>
              </w:rPr>
            </w:pPr>
            <w:r>
              <w:rPr>
                <w:rFonts w:ascii="Arial" w:hAnsi="Arial"/>
              </w:rPr>
              <w:t>K</w:t>
            </w:r>
          </w:p>
        </w:tc>
        <w:tc>
          <w:tcPr>
            <w:tcW w:w="5431" w:type="dxa"/>
          </w:tcPr>
          <w:p w:rsidR="00C36B3E" w:rsidRPr="000D4204" w:rsidRDefault="00C36B3E" w:rsidP="00C36B3E">
            <w:pPr>
              <w:rPr>
                <w:rFonts w:ascii="Arial" w:hAnsi="Arial"/>
              </w:rPr>
            </w:pPr>
            <w:r>
              <w:rPr>
                <w:rFonts w:ascii="Arial" w:hAnsi="Arial"/>
              </w:rPr>
              <w:t>619</w:t>
            </w:r>
          </w:p>
        </w:tc>
      </w:tr>
    </w:tbl>
    <w:p w:rsidR="00C7481E" w:rsidRDefault="00C7481E" w:rsidP="00C7481E"/>
    <w:p w:rsidR="00AD7B9B" w:rsidRDefault="00AD7B9B" w:rsidP="00C7481E">
      <w:r>
        <w:t xml:space="preserve">The local quality depends on the local enthalpy and should be evaluated at every axial position. </w:t>
      </w:r>
    </w:p>
    <w:p w:rsidR="00DA21EC" w:rsidRPr="00D1065C" w:rsidRDefault="00C7481E">
      <w:r w:rsidRPr="00D1065C">
        <w:t>The correlation above is for uniformly heated channels, but for sub-cooled conditions, as here it can be applied reasonably accurately to non-uniform heating cases. (Why?)</w:t>
      </w:r>
      <w:r w:rsidR="00DA21EC" w:rsidRPr="00D1065C">
        <w:t>.</w:t>
      </w:r>
    </w:p>
    <w:p w:rsidR="00AD7B9B" w:rsidRDefault="00AD7B9B"/>
    <w:p w:rsidR="00AD7B9B" w:rsidRDefault="00AD7B9B" w:rsidP="00AD7B9B">
      <w:pPr>
        <w:pStyle w:val="ListParagraph"/>
        <w:numPr>
          <w:ilvl w:val="0"/>
          <w:numId w:val="16"/>
        </w:numPr>
      </w:pPr>
      <w:r>
        <w:t>Evaluate the Critical Heat Flux using the Tong correlation</w:t>
      </w:r>
    </w:p>
    <w:p w:rsidR="00AD7B9B" w:rsidRDefault="00AD7B9B" w:rsidP="00AD7B9B">
      <w:pPr>
        <w:pStyle w:val="ListParagraph"/>
        <w:numPr>
          <w:ilvl w:val="0"/>
          <w:numId w:val="16"/>
        </w:numPr>
      </w:pPr>
      <w:r>
        <w:t>Evaluate the local DNB ratio (DNBR)</w:t>
      </w:r>
    </w:p>
    <w:sectPr w:rsidR="00AD7B9B" w:rsidSect="00DA21EC">
      <w:pgSz w:w="11900" w:h="16840"/>
      <w:pgMar w:top="1134" w:right="1797" w:bottom="1134"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Palatino">
    <w:altName w:val="Book Antiqua"/>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3307E3E"/>
    <w:multiLevelType w:val="multilevel"/>
    <w:tmpl w:val="CC7651F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B2D6B5B"/>
    <w:multiLevelType w:val="hybridMultilevel"/>
    <w:tmpl w:val="89A0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D31A84"/>
    <w:multiLevelType w:val="multilevel"/>
    <w:tmpl w:val="16761B2E"/>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27983B3E"/>
    <w:multiLevelType w:val="multilevel"/>
    <w:tmpl w:val="DEFACD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7CED6B19"/>
    <w:multiLevelType w:val="multilevel"/>
    <w:tmpl w:val="11A8B3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3"/>
  </w:num>
  <w:num w:numId="3">
    <w:abstractNumId w:val="0"/>
  </w:num>
  <w:num w:numId="4">
    <w:abstractNumId w:val="4"/>
  </w:num>
  <w:num w:numId="5">
    <w:abstractNumId w:val="4"/>
  </w:num>
  <w:num w:numId="6">
    <w:abstractNumId w:val="4"/>
  </w:num>
  <w:num w:numId="7">
    <w:abstractNumId w:val="4"/>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oNotTrackMoves/>
  <w:defaultTabStop w:val="720"/>
  <w:characterSpacingControl w:val="doNotCompress"/>
  <w:compat>
    <w:useFELayout/>
  </w:compat>
  <w:rsids>
    <w:rsidRoot w:val="00C7481E"/>
    <w:rsid w:val="000E76A2"/>
    <w:rsid w:val="001001AA"/>
    <w:rsid w:val="002039CD"/>
    <w:rsid w:val="0026488F"/>
    <w:rsid w:val="00357348"/>
    <w:rsid w:val="003A7B21"/>
    <w:rsid w:val="004226DF"/>
    <w:rsid w:val="0048542A"/>
    <w:rsid w:val="005967FC"/>
    <w:rsid w:val="005B56DD"/>
    <w:rsid w:val="005C0379"/>
    <w:rsid w:val="00622C74"/>
    <w:rsid w:val="00655D10"/>
    <w:rsid w:val="00665121"/>
    <w:rsid w:val="008D12D0"/>
    <w:rsid w:val="0090031E"/>
    <w:rsid w:val="009530E8"/>
    <w:rsid w:val="00957B6B"/>
    <w:rsid w:val="009D6A3E"/>
    <w:rsid w:val="009E41FC"/>
    <w:rsid w:val="00A7484B"/>
    <w:rsid w:val="00AD7B9B"/>
    <w:rsid w:val="00C36B3E"/>
    <w:rsid w:val="00C7481E"/>
    <w:rsid w:val="00C907ED"/>
    <w:rsid w:val="00CB0203"/>
    <w:rsid w:val="00CB2AB7"/>
    <w:rsid w:val="00CB4D60"/>
    <w:rsid w:val="00CE4CE5"/>
    <w:rsid w:val="00D1065C"/>
    <w:rsid w:val="00D46D47"/>
    <w:rsid w:val="00D662E8"/>
    <w:rsid w:val="00DA0B6A"/>
    <w:rsid w:val="00DA21EC"/>
    <w:rsid w:val="00DB6550"/>
    <w:rsid w:val="00E111CD"/>
    <w:rsid w:val="00E30D0C"/>
    <w:rsid w:val="00F04A67"/>
  </w:rsids>
  <m:mathPr>
    <m:mathFont m:val="Georgia"/>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550"/>
    <w:pPr>
      <w:spacing w:before="120"/>
      <w:jc w:val="both"/>
    </w:pPr>
    <w:rPr>
      <w:rFonts w:ascii="Palatino" w:eastAsia="Times New Roman" w:hAnsi="Palatino" w:cs="Times New Roman"/>
      <w:sz w:val="20"/>
    </w:rPr>
  </w:style>
  <w:style w:type="paragraph" w:styleId="Heading1">
    <w:name w:val="heading 1"/>
    <w:basedOn w:val="Normal"/>
    <w:next w:val="Normal"/>
    <w:link w:val="Heading1Char"/>
    <w:qFormat/>
    <w:rsid w:val="00DB6550"/>
    <w:pPr>
      <w:keepNext/>
      <w:spacing w:before="240" w:after="60"/>
      <w:outlineLvl w:val="0"/>
    </w:pPr>
    <w:rPr>
      <w:b/>
      <w:caps/>
      <w:kern w:val="32"/>
      <w:szCs w:val="32"/>
      <w:u w:val="single"/>
    </w:rPr>
  </w:style>
  <w:style w:type="paragraph" w:styleId="Heading2">
    <w:name w:val="heading 2"/>
    <w:basedOn w:val="Normal"/>
    <w:next w:val="Normal"/>
    <w:link w:val="Heading2Char"/>
    <w:qFormat/>
    <w:rsid w:val="00DB6550"/>
    <w:pPr>
      <w:keepNext/>
      <w:spacing w:before="240" w:after="60"/>
      <w:outlineLvl w:val="1"/>
    </w:pPr>
    <w:rPr>
      <w:b/>
      <w:szCs w:val="28"/>
      <w:u w:val="single"/>
    </w:rPr>
  </w:style>
  <w:style w:type="paragraph" w:styleId="Heading3">
    <w:name w:val="heading 3"/>
    <w:basedOn w:val="Normal"/>
    <w:next w:val="Normal"/>
    <w:link w:val="Heading3Char"/>
    <w:qFormat/>
    <w:rsid w:val="00DB6550"/>
    <w:pPr>
      <w:keepNext/>
      <w:spacing w:before="240" w:after="60"/>
      <w:outlineLvl w:val="2"/>
    </w:pPr>
    <w:rPr>
      <w:b/>
      <w:szCs w:val="26"/>
    </w:rPr>
  </w:style>
  <w:style w:type="paragraph" w:styleId="Heading4">
    <w:name w:val="heading 4"/>
    <w:basedOn w:val="Normal"/>
    <w:next w:val="Normal"/>
    <w:link w:val="Heading4Char"/>
    <w:qFormat/>
    <w:rsid w:val="00DB6550"/>
    <w:pPr>
      <w:keepNext/>
      <w:spacing w:before="240" w:after="60"/>
      <w:outlineLvl w:val="3"/>
    </w:pPr>
    <w:rPr>
      <w:szCs w:val="28"/>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357348"/>
    <w:rPr>
      <w:rFonts w:ascii="Palatino" w:eastAsia="Times New Roman" w:hAnsi="Palatino" w:cs="Times New Roman"/>
      <w:b/>
      <w:caps/>
      <w:kern w:val="32"/>
      <w:sz w:val="20"/>
      <w:szCs w:val="32"/>
      <w:u w:val="single"/>
    </w:rPr>
  </w:style>
  <w:style w:type="character" w:customStyle="1" w:styleId="Heading2Char">
    <w:name w:val="Heading 2 Char"/>
    <w:basedOn w:val="DefaultParagraphFont"/>
    <w:link w:val="Heading2"/>
    <w:rsid w:val="00357348"/>
    <w:rPr>
      <w:rFonts w:ascii="Palatino" w:eastAsia="Times New Roman" w:hAnsi="Palatino" w:cs="Times New Roman"/>
      <w:b/>
      <w:sz w:val="20"/>
      <w:szCs w:val="28"/>
      <w:u w:val="single"/>
    </w:rPr>
  </w:style>
  <w:style w:type="character" w:customStyle="1" w:styleId="Heading3Char">
    <w:name w:val="Heading 3 Char"/>
    <w:basedOn w:val="DefaultParagraphFont"/>
    <w:link w:val="Heading3"/>
    <w:rsid w:val="00357348"/>
    <w:rPr>
      <w:rFonts w:ascii="Palatino" w:eastAsia="Times New Roman" w:hAnsi="Palatino" w:cs="Times New Roman"/>
      <w:b/>
      <w:sz w:val="20"/>
      <w:szCs w:val="26"/>
    </w:rPr>
  </w:style>
  <w:style w:type="character" w:customStyle="1" w:styleId="Heading4Char">
    <w:name w:val="Heading 4 Char"/>
    <w:basedOn w:val="DefaultParagraphFont"/>
    <w:link w:val="Heading4"/>
    <w:rsid w:val="00357348"/>
    <w:rPr>
      <w:rFonts w:ascii="Palatino" w:eastAsia="Times New Roman" w:hAnsi="Palatino" w:cs="Times New Roman"/>
      <w:sz w:val="20"/>
      <w:szCs w:val="28"/>
      <w:u w:val="single"/>
    </w:rPr>
  </w:style>
  <w:style w:type="paragraph" w:customStyle="1" w:styleId="Heading1Numbered">
    <w:name w:val="Heading 1 Numbered"/>
    <w:basedOn w:val="Heading1"/>
    <w:qFormat/>
    <w:rsid w:val="00D46D47"/>
    <w:pPr>
      <w:keepLines/>
      <w:numPr>
        <w:numId w:val="15"/>
      </w:numPr>
      <w:spacing w:before="480" w:after="0"/>
      <w:jc w:val="left"/>
    </w:pPr>
    <w:rPr>
      <w:rFonts w:eastAsiaTheme="majorEastAsia" w:cstheme="majorBidi"/>
      <w:bCs/>
      <w:kern w:val="0"/>
      <w:szCs w:val="20"/>
    </w:rPr>
  </w:style>
  <w:style w:type="paragraph" w:customStyle="1" w:styleId="Heading2numbered">
    <w:name w:val="Heading 2 numbered"/>
    <w:basedOn w:val="Heading2"/>
    <w:next w:val="Normal"/>
    <w:rsid w:val="00D46D47"/>
    <w:pPr>
      <w:numPr>
        <w:ilvl w:val="1"/>
        <w:numId w:val="15"/>
      </w:numPr>
      <w:tabs>
        <w:tab w:val="left" w:pos="510"/>
      </w:tabs>
    </w:pPr>
  </w:style>
  <w:style w:type="paragraph" w:customStyle="1" w:styleId="Heading3numbered">
    <w:name w:val="Heading 3 numbered"/>
    <w:basedOn w:val="Heading2numbered"/>
    <w:next w:val="Normal"/>
    <w:rsid w:val="00D46D47"/>
    <w:pPr>
      <w:numPr>
        <w:ilvl w:val="2"/>
      </w:numPr>
      <w:jc w:val="left"/>
    </w:pPr>
    <w:rPr>
      <w:u w:val="none"/>
    </w:rPr>
  </w:style>
  <w:style w:type="paragraph" w:customStyle="1" w:styleId="Heading4numbered">
    <w:name w:val="Heading 4 numbered"/>
    <w:basedOn w:val="Heading4"/>
    <w:next w:val="Normal"/>
    <w:rsid w:val="00D46D47"/>
    <w:pPr>
      <w:numPr>
        <w:ilvl w:val="3"/>
        <w:numId w:val="15"/>
      </w:numPr>
    </w:pPr>
  </w:style>
  <w:style w:type="paragraph" w:customStyle="1" w:styleId="MCQ">
    <w:name w:val="MCQ"/>
    <w:basedOn w:val="Normal"/>
    <w:next w:val="Normal"/>
    <w:rsid w:val="00D46D47"/>
    <w:pPr>
      <w:spacing w:after="120"/>
    </w:pPr>
    <w:rPr>
      <w:rFonts w:ascii="Arial" w:eastAsia="MS Mincho" w:hAnsi="Arial"/>
      <w:sz w:val="24"/>
      <w:szCs w:val="20"/>
      <w:lang w:val="en-GB"/>
    </w:rPr>
  </w:style>
  <w:style w:type="paragraph" w:customStyle="1" w:styleId="MCA">
    <w:name w:val="MCA"/>
    <w:basedOn w:val="MCQ"/>
    <w:rsid w:val="00D46D47"/>
    <w:pPr>
      <w:tabs>
        <w:tab w:val="left" w:pos="1134"/>
      </w:tabs>
      <w:ind w:left="1134" w:hanging="1134"/>
    </w:pPr>
  </w:style>
  <w:style w:type="paragraph" w:styleId="Caption">
    <w:name w:val="caption"/>
    <w:basedOn w:val="Normal"/>
    <w:next w:val="Normal"/>
    <w:qFormat/>
    <w:rsid w:val="00D46D47"/>
    <w:pPr>
      <w:spacing w:after="120"/>
      <w:jc w:val="center"/>
    </w:pPr>
  </w:style>
  <w:style w:type="paragraph" w:customStyle="1" w:styleId="Normalclose">
    <w:name w:val="Normal close"/>
    <w:basedOn w:val="Normal"/>
    <w:rsid w:val="009E41FC"/>
    <w:pPr>
      <w:spacing w:before="0"/>
    </w:pPr>
  </w:style>
  <w:style w:type="paragraph" w:customStyle="1" w:styleId="Normalkwnext">
    <w:name w:val="Normal k w next"/>
    <w:basedOn w:val="Normal"/>
    <w:rsid w:val="00DB6550"/>
    <w:pPr>
      <w:keepNext/>
    </w:pPr>
    <w:rPr>
      <w:rFonts w:ascii="Lucida Grande" w:hAnsi="Lucida Grande"/>
    </w:rPr>
  </w:style>
  <w:style w:type="character" w:styleId="PageNumber">
    <w:name w:val="page number"/>
    <w:basedOn w:val="DefaultParagraphFont"/>
    <w:rsid w:val="00DB6550"/>
  </w:style>
  <w:style w:type="paragraph" w:customStyle="1" w:styleId="MTDisplayEquation">
    <w:name w:val="MTDisplayEquation"/>
    <w:basedOn w:val="Normal"/>
    <w:next w:val="Normal"/>
    <w:rsid w:val="00C7481E"/>
    <w:pPr>
      <w:tabs>
        <w:tab w:val="center" w:pos="4160"/>
        <w:tab w:val="right" w:pos="8300"/>
      </w:tabs>
    </w:pPr>
    <w:rPr>
      <w:b/>
    </w:rPr>
  </w:style>
  <w:style w:type="table" w:styleId="TableGrid">
    <w:name w:val="Table Grid"/>
    <w:basedOn w:val="TableNormal"/>
    <w:uiPriority w:val="59"/>
    <w:rsid w:val="00C7481E"/>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TConvertedEquation">
    <w:name w:val="MTConvertedEquation"/>
    <w:basedOn w:val="DefaultParagraphFont"/>
    <w:rsid w:val="00DA21EC"/>
    <w:rPr>
      <w:b/>
    </w:rPr>
  </w:style>
  <w:style w:type="paragraph" w:styleId="ListParagraph">
    <w:name w:val="List Paragraph"/>
    <w:basedOn w:val="Normal"/>
    <w:uiPriority w:val="34"/>
    <w:qFormat/>
    <w:rsid w:val="00AD7B9B"/>
    <w:pPr>
      <w:ind w:left="720"/>
      <w:contextualSpacing/>
    </w:pPr>
  </w:style>
  <w:style w:type="character" w:styleId="PlaceholderText">
    <w:name w:val="Placeholder Text"/>
    <w:basedOn w:val="DefaultParagraphFont"/>
    <w:uiPriority w:val="99"/>
    <w:semiHidden/>
    <w:rsid w:val="003A7B21"/>
    <w:rPr>
      <w:color w:val="808080"/>
    </w:rPr>
  </w:style>
  <w:style w:type="paragraph" w:styleId="BalloonText">
    <w:name w:val="Balloon Text"/>
    <w:basedOn w:val="Normal"/>
    <w:link w:val="BalloonTextChar"/>
    <w:semiHidden/>
    <w:unhideWhenUsed/>
    <w:rsid w:val="003A7B2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3A7B2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550"/>
    <w:pPr>
      <w:spacing w:before="120"/>
      <w:jc w:val="both"/>
    </w:pPr>
    <w:rPr>
      <w:rFonts w:ascii="Palatino" w:eastAsia="Times New Roman" w:hAnsi="Palatino" w:cs="Times New Roman"/>
      <w:sz w:val="20"/>
    </w:rPr>
  </w:style>
  <w:style w:type="paragraph" w:styleId="Heading1">
    <w:name w:val="heading 1"/>
    <w:basedOn w:val="Normal"/>
    <w:next w:val="Normal"/>
    <w:link w:val="Heading1Char"/>
    <w:qFormat/>
    <w:rsid w:val="00DB6550"/>
    <w:pPr>
      <w:keepNext/>
      <w:spacing w:before="240" w:after="60"/>
      <w:outlineLvl w:val="0"/>
    </w:pPr>
    <w:rPr>
      <w:b/>
      <w:caps/>
      <w:kern w:val="32"/>
      <w:szCs w:val="32"/>
      <w:u w:val="single"/>
    </w:rPr>
  </w:style>
  <w:style w:type="paragraph" w:styleId="Heading2">
    <w:name w:val="heading 2"/>
    <w:basedOn w:val="Normal"/>
    <w:next w:val="Normal"/>
    <w:link w:val="Heading2Char"/>
    <w:qFormat/>
    <w:rsid w:val="00DB6550"/>
    <w:pPr>
      <w:keepNext/>
      <w:spacing w:before="240" w:after="60"/>
      <w:outlineLvl w:val="1"/>
    </w:pPr>
    <w:rPr>
      <w:b/>
      <w:szCs w:val="28"/>
      <w:u w:val="single"/>
    </w:rPr>
  </w:style>
  <w:style w:type="paragraph" w:styleId="Heading3">
    <w:name w:val="heading 3"/>
    <w:basedOn w:val="Normal"/>
    <w:next w:val="Normal"/>
    <w:link w:val="Heading3Char"/>
    <w:qFormat/>
    <w:rsid w:val="00DB6550"/>
    <w:pPr>
      <w:keepNext/>
      <w:spacing w:before="240" w:after="60"/>
      <w:outlineLvl w:val="2"/>
    </w:pPr>
    <w:rPr>
      <w:b/>
      <w:szCs w:val="26"/>
    </w:rPr>
  </w:style>
  <w:style w:type="paragraph" w:styleId="Heading4">
    <w:name w:val="heading 4"/>
    <w:basedOn w:val="Normal"/>
    <w:next w:val="Normal"/>
    <w:link w:val="Heading4Char"/>
    <w:qFormat/>
    <w:rsid w:val="00DB6550"/>
    <w:pPr>
      <w:keepNext/>
      <w:spacing w:before="240" w:after="60"/>
      <w:outlineLvl w:val="3"/>
    </w:pPr>
    <w:rPr>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7348"/>
    <w:rPr>
      <w:rFonts w:ascii="Palatino" w:eastAsia="Times New Roman" w:hAnsi="Palatino" w:cs="Times New Roman"/>
      <w:b/>
      <w:caps/>
      <w:kern w:val="32"/>
      <w:sz w:val="20"/>
      <w:szCs w:val="32"/>
      <w:u w:val="single"/>
    </w:rPr>
  </w:style>
  <w:style w:type="character" w:customStyle="1" w:styleId="Heading2Char">
    <w:name w:val="Heading 2 Char"/>
    <w:basedOn w:val="DefaultParagraphFont"/>
    <w:link w:val="Heading2"/>
    <w:rsid w:val="00357348"/>
    <w:rPr>
      <w:rFonts w:ascii="Palatino" w:eastAsia="Times New Roman" w:hAnsi="Palatino" w:cs="Times New Roman"/>
      <w:b/>
      <w:sz w:val="20"/>
      <w:szCs w:val="28"/>
      <w:u w:val="single"/>
    </w:rPr>
  </w:style>
  <w:style w:type="character" w:customStyle="1" w:styleId="Heading3Char">
    <w:name w:val="Heading 3 Char"/>
    <w:basedOn w:val="DefaultParagraphFont"/>
    <w:link w:val="Heading3"/>
    <w:rsid w:val="00357348"/>
    <w:rPr>
      <w:rFonts w:ascii="Palatino" w:eastAsia="Times New Roman" w:hAnsi="Palatino" w:cs="Times New Roman"/>
      <w:b/>
      <w:sz w:val="20"/>
      <w:szCs w:val="26"/>
    </w:rPr>
  </w:style>
  <w:style w:type="character" w:customStyle="1" w:styleId="Heading4Char">
    <w:name w:val="Heading 4 Char"/>
    <w:basedOn w:val="DefaultParagraphFont"/>
    <w:link w:val="Heading4"/>
    <w:rsid w:val="00357348"/>
    <w:rPr>
      <w:rFonts w:ascii="Palatino" w:eastAsia="Times New Roman" w:hAnsi="Palatino" w:cs="Times New Roman"/>
      <w:sz w:val="20"/>
      <w:szCs w:val="28"/>
      <w:u w:val="single"/>
    </w:rPr>
  </w:style>
  <w:style w:type="paragraph" w:customStyle="1" w:styleId="Heading1Numbered">
    <w:name w:val="Heading 1 Numbered"/>
    <w:basedOn w:val="Heading1"/>
    <w:qFormat/>
    <w:rsid w:val="00D46D47"/>
    <w:pPr>
      <w:keepLines/>
      <w:numPr>
        <w:numId w:val="15"/>
      </w:numPr>
      <w:spacing w:before="480" w:after="0"/>
      <w:jc w:val="left"/>
    </w:pPr>
    <w:rPr>
      <w:rFonts w:eastAsiaTheme="majorEastAsia" w:cstheme="majorBidi"/>
      <w:bCs/>
      <w:kern w:val="0"/>
      <w:szCs w:val="20"/>
    </w:rPr>
  </w:style>
  <w:style w:type="paragraph" w:customStyle="1" w:styleId="Heading2numbered">
    <w:name w:val="Heading 2 numbered"/>
    <w:basedOn w:val="Heading2"/>
    <w:next w:val="Normal"/>
    <w:rsid w:val="00D46D47"/>
    <w:pPr>
      <w:numPr>
        <w:ilvl w:val="1"/>
        <w:numId w:val="15"/>
      </w:numPr>
      <w:tabs>
        <w:tab w:val="left" w:pos="510"/>
      </w:tabs>
    </w:pPr>
  </w:style>
  <w:style w:type="paragraph" w:customStyle="1" w:styleId="Heading3numbered">
    <w:name w:val="Heading 3 numbered"/>
    <w:basedOn w:val="Heading2numbered"/>
    <w:next w:val="Normal"/>
    <w:rsid w:val="00D46D47"/>
    <w:pPr>
      <w:numPr>
        <w:ilvl w:val="2"/>
      </w:numPr>
      <w:jc w:val="left"/>
    </w:pPr>
    <w:rPr>
      <w:u w:val="none"/>
    </w:rPr>
  </w:style>
  <w:style w:type="paragraph" w:customStyle="1" w:styleId="Heading4numbered">
    <w:name w:val="Heading 4 numbered"/>
    <w:basedOn w:val="Heading4"/>
    <w:next w:val="Normal"/>
    <w:rsid w:val="00D46D47"/>
    <w:pPr>
      <w:numPr>
        <w:ilvl w:val="3"/>
        <w:numId w:val="15"/>
      </w:numPr>
    </w:pPr>
  </w:style>
  <w:style w:type="paragraph" w:customStyle="1" w:styleId="MCQ">
    <w:name w:val="MCQ"/>
    <w:basedOn w:val="Normal"/>
    <w:next w:val="Normal"/>
    <w:rsid w:val="00D46D47"/>
    <w:pPr>
      <w:spacing w:after="120"/>
    </w:pPr>
    <w:rPr>
      <w:rFonts w:ascii="Arial" w:eastAsia="MS Mincho" w:hAnsi="Arial"/>
      <w:sz w:val="24"/>
      <w:szCs w:val="20"/>
      <w:lang w:val="en-GB"/>
    </w:rPr>
  </w:style>
  <w:style w:type="paragraph" w:customStyle="1" w:styleId="MCA">
    <w:name w:val="MCA"/>
    <w:basedOn w:val="MCQ"/>
    <w:rsid w:val="00D46D47"/>
    <w:pPr>
      <w:tabs>
        <w:tab w:val="left" w:pos="1134"/>
      </w:tabs>
      <w:ind w:left="1134" w:hanging="1134"/>
    </w:pPr>
  </w:style>
  <w:style w:type="paragraph" w:styleId="Caption">
    <w:name w:val="caption"/>
    <w:basedOn w:val="Normal"/>
    <w:next w:val="Normal"/>
    <w:qFormat/>
    <w:rsid w:val="00D46D47"/>
    <w:pPr>
      <w:spacing w:after="120"/>
      <w:jc w:val="center"/>
    </w:pPr>
  </w:style>
  <w:style w:type="paragraph" w:customStyle="1" w:styleId="Normalclose">
    <w:name w:val="Normal close"/>
    <w:basedOn w:val="Normal"/>
    <w:rsid w:val="009E41FC"/>
    <w:pPr>
      <w:spacing w:before="0"/>
    </w:pPr>
  </w:style>
  <w:style w:type="paragraph" w:customStyle="1" w:styleId="Normalkwnext">
    <w:name w:val="Normal k w next"/>
    <w:basedOn w:val="Normal"/>
    <w:rsid w:val="00DB6550"/>
    <w:pPr>
      <w:keepNext/>
    </w:pPr>
    <w:rPr>
      <w:rFonts w:ascii="Lucida Grande" w:hAnsi="Lucida Grande"/>
    </w:rPr>
  </w:style>
  <w:style w:type="character" w:styleId="PageNumber">
    <w:name w:val="page number"/>
    <w:basedOn w:val="DefaultParagraphFont"/>
    <w:rsid w:val="00DB6550"/>
  </w:style>
  <w:style w:type="paragraph" w:customStyle="1" w:styleId="MTDisplayEquation">
    <w:name w:val="MTDisplayEquation"/>
    <w:basedOn w:val="Normal"/>
    <w:next w:val="Normal"/>
    <w:rsid w:val="00C7481E"/>
    <w:pPr>
      <w:tabs>
        <w:tab w:val="center" w:pos="4160"/>
        <w:tab w:val="right" w:pos="8300"/>
      </w:tabs>
    </w:pPr>
    <w:rPr>
      <w:b/>
    </w:rPr>
  </w:style>
  <w:style w:type="table" w:styleId="TableGrid">
    <w:name w:val="Table Grid"/>
    <w:basedOn w:val="TableNormal"/>
    <w:uiPriority w:val="59"/>
    <w:rsid w:val="00C7481E"/>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TConvertedEquation">
    <w:name w:val="MTConvertedEquation"/>
    <w:basedOn w:val="DefaultParagraphFont"/>
    <w:rsid w:val="00DA21EC"/>
    <w:rPr>
      <w:b/>
    </w:rPr>
  </w:style>
  <w:style w:type="paragraph" w:styleId="ListParagraph">
    <w:name w:val="List Paragraph"/>
    <w:basedOn w:val="Normal"/>
    <w:uiPriority w:val="34"/>
    <w:qFormat/>
    <w:rsid w:val="00AD7B9B"/>
    <w:pPr>
      <w:ind w:left="720"/>
      <w:contextualSpacing/>
    </w:pPr>
  </w:style>
  <w:style w:type="character" w:styleId="PlaceholderText">
    <w:name w:val="Placeholder Text"/>
    <w:basedOn w:val="DefaultParagraphFont"/>
    <w:uiPriority w:val="99"/>
    <w:semiHidden/>
    <w:rsid w:val="003A7B21"/>
    <w:rPr>
      <w:color w:val="808080"/>
    </w:rPr>
  </w:style>
  <w:style w:type="paragraph" w:styleId="BalloonText">
    <w:name w:val="Balloon Text"/>
    <w:basedOn w:val="Normal"/>
    <w:link w:val="BalloonTextChar"/>
    <w:semiHidden/>
    <w:unhideWhenUsed/>
    <w:rsid w:val="003A7B2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3A7B2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image" Target="media/image7.emf"/><Relationship Id="rId20" Type="http://schemas.microsoft.com/office/2007/relationships/stylesWithEffects" Target="stylesWithEffects.xml"/><Relationship Id="rId4" Type="http://schemas.openxmlformats.org/officeDocument/2006/relationships/webSettings" Target="webSettings.xml"/><Relationship Id="rId7" Type="http://schemas.openxmlformats.org/officeDocument/2006/relationships/image" Target="media/image2.emf"/><Relationship Id="rId11"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oleObject" Target="embeddings/oleObject1.bin"/><Relationship Id="rId16" Type="http://schemas.openxmlformats.org/officeDocument/2006/relationships/image" Target="media/image8.emf"/><Relationship Id="rId8" Type="http://schemas.openxmlformats.org/officeDocument/2006/relationships/oleObject" Target="embeddings/oleObject2.bin"/><Relationship Id="rId13" Type="http://schemas.openxmlformats.org/officeDocument/2006/relationships/oleObject" Target="embeddings/oleObject3.bin"/><Relationship Id="rId10" Type="http://schemas.openxmlformats.org/officeDocument/2006/relationships/image" Target="media/image4.png"/><Relationship Id="rId5" Type="http://schemas.openxmlformats.org/officeDocument/2006/relationships/image" Target="media/image1.emf"/><Relationship Id="rId15" Type="http://schemas.openxmlformats.org/officeDocument/2006/relationships/oleObject" Target="embeddings/oleObject4.bin"/><Relationship Id="rId12" Type="http://schemas.openxmlformats.org/officeDocument/2006/relationships/image" Target="media/image6.emf"/><Relationship Id="rId17" Type="http://schemas.openxmlformats.org/officeDocument/2006/relationships/oleObject" Target="embeddings/oleObject5.bin"/><Relationship Id="rId19" Type="http://schemas.openxmlformats.org/officeDocument/2006/relationships/theme" Target="theme/theme1.xml"/><Relationship Id="rId2" Type="http://schemas.openxmlformats.org/officeDocument/2006/relationships/styles" Target="styles.xml"/><Relationship Id="rId9" Type="http://schemas.openxmlformats.org/officeDocument/2006/relationships/image" Target="media/image3.png"/><Relationship Id="rId3" Type="http://schemas.openxmlformats.org/officeDocument/2006/relationships/settings" Target="settings.xml"/><Relationship Id="rId1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479</Words>
  <Characters>2731</Characters>
  <Application>Microsoft Macintosh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spw</dc:creator>
  <cp:lastModifiedBy>Nicolas Cinosi</cp:lastModifiedBy>
  <cp:revision>10</cp:revision>
  <dcterms:created xsi:type="dcterms:W3CDTF">2013-10-17T12:33:00Z</dcterms:created>
  <dcterms:modified xsi:type="dcterms:W3CDTF">2013-10-18T06:32:00Z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