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7FF602" w14:textId="76F4C17D" w:rsidR="008C222E" w:rsidRPr="00542C27" w:rsidRDefault="008C222E" w:rsidP="00542C27">
      <w:pPr>
        <w:jc w:val="center"/>
        <w:rPr>
          <w:b/>
        </w:rPr>
      </w:pPr>
      <w:r w:rsidRPr="00542C27">
        <w:rPr>
          <w:b/>
        </w:rPr>
        <w:t>MUSE-SGI</w:t>
      </w:r>
      <w:r w:rsidR="00542C27" w:rsidRPr="00542C27">
        <w:rPr>
          <w:b/>
        </w:rPr>
        <w:t xml:space="preserve"> </w:t>
      </w:r>
      <w:r w:rsidR="00CC6FC1">
        <w:rPr>
          <w:b/>
        </w:rPr>
        <w:t>Non-</w:t>
      </w:r>
      <w:r w:rsidR="00720E6B">
        <w:rPr>
          <w:b/>
        </w:rPr>
        <w:t>Technical</w:t>
      </w:r>
      <w:r w:rsidR="00CC6FC1">
        <w:rPr>
          <w:b/>
        </w:rPr>
        <w:t xml:space="preserve"> </w:t>
      </w:r>
      <w:r w:rsidR="00720E6B">
        <w:rPr>
          <w:b/>
        </w:rPr>
        <w:t>Overview</w:t>
      </w:r>
    </w:p>
    <w:p w14:paraId="33FC2426" w14:textId="03BCAE73" w:rsidR="008C222E" w:rsidRDefault="00332A62" w:rsidP="00542C27">
      <w:pPr>
        <w:jc w:val="center"/>
        <w:rPr>
          <w:b/>
        </w:rPr>
      </w:pPr>
      <w:r>
        <w:rPr>
          <w:b/>
        </w:rPr>
        <w:t>Transport</w:t>
      </w:r>
      <w:r w:rsidR="008C222E" w:rsidRPr="00542C27">
        <w:rPr>
          <w:b/>
        </w:rPr>
        <w:t xml:space="preserve"> </w:t>
      </w:r>
      <w:r w:rsidR="0038607E">
        <w:rPr>
          <w:b/>
        </w:rPr>
        <w:t xml:space="preserve">Sector </w:t>
      </w:r>
      <w:r w:rsidR="008C222E" w:rsidRPr="00542C27">
        <w:rPr>
          <w:b/>
        </w:rPr>
        <w:t>Module</w:t>
      </w:r>
    </w:p>
    <w:p w14:paraId="6B03A5C9" w14:textId="16C69EBA" w:rsidR="008C222E" w:rsidRDefault="00CB3911" w:rsidP="008C222E">
      <w:pPr>
        <w:pStyle w:val="Heading1"/>
      </w:pPr>
      <w:r>
        <w:t>Context</w:t>
      </w:r>
    </w:p>
    <w:p w14:paraId="3B11A10E" w14:textId="31FD424C" w:rsidR="0038607E" w:rsidRDefault="0038607E" w:rsidP="0038607E">
      <w:r>
        <w:t>The transport sect</w:t>
      </w:r>
      <w:r w:rsidR="005439FF">
        <w:t>or is responsible for about 23</w:t>
      </w:r>
      <w:r>
        <w:t>% of worldwide CO</w:t>
      </w:r>
      <w:r w:rsidR="005439FF" w:rsidRPr="005439FF">
        <w:rPr>
          <w:vertAlign w:val="subscript"/>
        </w:rPr>
        <w:t>2</w:t>
      </w:r>
      <w:r>
        <w:t xml:space="preserve"> emissions. As the energy service demand in transport </w:t>
      </w:r>
      <w:proofErr w:type="gramStart"/>
      <w:r>
        <w:t>is expected</w:t>
      </w:r>
      <w:proofErr w:type="gramEnd"/>
      <w:r>
        <w:t xml:space="preserve"> to dramatically increase in the next years, it is of crucial importance to cut the associated emissions in order to meet global decarbonisation targets</w:t>
      </w:r>
      <w:r w:rsidR="00F2305D">
        <w:t xml:space="preserve"> [1].</w:t>
      </w:r>
    </w:p>
    <w:p w14:paraId="7D454645" w14:textId="2430CC23" w:rsidR="00080AAA" w:rsidRPr="00080AAA" w:rsidRDefault="0038607E" w:rsidP="0038607E">
      <w:r>
        <w:t>In this transition towards a more sustainable mobility, n</w:t>
      </w:r>
      <w:r w:rsidR="00F2305D">
        <w:t>ew</w:t>
      </w:r>
      <w:r>
        <w:t xml:space="preserve"> technologies will play a major role and will imply novel fuel portfolios. Hydrogen, electricity and biofuels </w:t>
      </w:r>
      <w:proofErr w:type="gramStart"/>
      <w:r>
        <w:t>have often been acknowledged</w:t>
      </w:r>
      <w:proofErr w:type="gramEnd"/>
      <w:r>
        <w:t xml:space="preserve"> as instrumental to this change. However, the deployment of these fuels and of the associated technologies may only be feasible if</w:t>
      </w:r>
      <w:r w:rsidR="00F2305D">
        <w:t xml:space="preserve"> careful R</w:t>
      </w:r>
      <w:r>
        <w:t>&amp;D plans and technology develo</w:t>
      </w:r>
      <w:r w:rsidR="00F2305D">
        <w:t>pment strategies are in place. It is also noteworthy that</w:t>
      </w:r>
      <w:r>
        <w:t xml:space="preserve"> revolutionary technologies deployment will have social effects on the traffic volume and modal split.</w:t>
      </w:r>
    </w:p>
    <w:p w14:paraId="53DE249B" w14:textId="5CFEEFC6" w:rsidR="00CB3911" w:rsidRDefault="00ED6AB3" w:rsidP="00080AAA">
      <w:pPr>
        <w:pStyle w:val="Heading1"/>
      </w:pPr>
      <w:r>
        <w:t>Problem Statement</w:t>
      </w:r>
    </w:p>
    <w:p w14:paraId="42572A3F" w14:textId="5761DBD7" w:rsidR="001F5628" w:rsidRDefault="0038607E" w:rsidP="00931904">
      <w:r w:rsidRPr="0038607E">
        <w:t xml:space="preserve">The transport </w:t>
      </w:r>
      <w:r w:rsidR="009C4D8E">
        <w:t xml:space="preserve">sector </w:t>
      </w:r>
      <w:r w:rsidRPr="0038607E">
        <w:t>module</w:t>
      </w:r>
      <w:r w:rsidR="009C4D8E">
        <w:t>,</w:t>
      </w:r>
      <w:r w:rsidRPr="0038607E">
        <w:t xml:space="preserve"> </w:t>
      </w:r>
      <w:r w:rsidR="009C4D8E">
        <w:t>TSM,</w:t>
      </w:r>
      <w:r w:rsidRPr="0038607E">
        <w:t xml:space="preserve"> has to determine the energy service demand for transport and explore how this demand </w:t>
      </w:r>
      <w:proofErr w:type="gramStart"/>
      <w:r w:rsidRPr="0038607E">
        <w:t>will be met</w:t>
      </w:r>
      <w:proofErr w:type="gramEnd"/>
      <w:r w:rsidRPr="0038607E">
        <w:t xml:space="preserve"> in terms of modal split, technology and fuel mix on a global scale. This </w:t>
      </w:r>
      <w:proofErr w:type="gramStart"/>
      <w:r w:rsidRPr="0038607E">
        <w:t>must be realized</w:t>
      </w:r>
      <w:proofErr w:type="gramEnd"/>
      <w:r w:rsidRPr="0038607E">
        <w:t xml:space="preserve"> involving, on the one hand, the key </w:t>
      </w:r>
      <w:proofErr w:type="spellStart"/>
      <w:r w:rsidRPr="0038607E">
        <w:t>macrodrivers</w:t>
      </w:r>
      <w:proofErr w:type="spellEnd"/>
      <w:r w:rsidRPr="0038607E">
        <w:t xml:space="preserve"> to the energy service demand, and, on the other hand</w:t>
      </w:r>
      <w:r w:rsidR="009C4D8E">
        <w:t>,</w:t>
      </w:r>
      <w:r w:rsidRPr="0038607E">
        <w:t xml:space="preserve"> representing realistic market players’ behaviour towards technological change. The </w:t>
      </w:r>
      <w:r w:rsidR="009C4D8E">
        <w:t>TSM</w:t>
      </w:r>
      <w:r w:rsidRPr="0038607E">
        <w:t xml:space="preserve"> needs to be technology-rich as well as appropriately informed with the </w:t>
      </w:r>
      <w:proofErr w:type="spellStart"/>
      <w:r w:rsidRPr="0038607E">
        <w:t>macrodrivers</w:t>
      </w:r>
      <w:proofErr w:type="spellEnd"/>
      <w:r w:rsidRPr="0038607E">
        <w:t xml:space="preserve"> which best represent the tr</w:t>
      </w:r>
      <w:r w:rsidR="00606448">
        <w:t xml:space="preserve">end of traffic volume </w:t>
      </w:r>
      <w:r w:rsidR="009C4D8E">
        <w:t>in</w:t>
      </w:r>
      <w:r w:rsidRPr="0038607E">
        <w:t xml:space="preserve"> </w:t>
      </w:r>
      <w:r w:rsidR="009C4D8E">
        <w:t>every modelled region</w:t>
      </w:r>
      <w:r w:rsidRPr="0038607E">
        <w:t>. It must apply a bottom-up approach to model each transport technology to describe the associated impact on energy use and greenhouse gases emissions.</w:t>
      </w:r>
    </w:p>
    <w:p w14:paraId="2E07BA75" w14:textId="24FC9C93" w:rsidR="00D611AA" w:rsidRDefault="00D611AA" w:rsidP="00D611AA">
      <w:pPr>
        <w:pStyle w:val="Heading1"/>
      </w:pPr>
      <w:r>
        <w:t>Module Approach</w:t>
      </w:r>
    </w:p>
    <w:p w14:paraId="290F3D0D" w14:textId="5DBA8490" w:rsidR="009C4D8E" w:rsidRDefault="0038607E" w:rsidP="001F5628">
      <w:r w:rsidRPr="0038607E">
        <w:t>The transport s</w:t>
      </w:r>
      <w:r w:rsidR="009C4D8E">
        <w:t>ector module in MUSE, the TSM</w:t>
      </w:r>
      <w:r w:rsidRPr="0038607E">
        <w:t xml:space="preserve">, is a simulation model with the ultimate goal to produce a </w:t>
      </w:r>
      <w:proofErr w:type="spellStart"/>
      <w:r w:rsidRPr="0038607E">
        <w:t>timeseries</w:t>
      </w:r>
      <w:proofErr w:type="spellEnd"/>
      <w:r w:rsidRPr="0038607E">
        <w:t xml:space="preserve"> of fuel demand to meet the projected energy service demand. It respon</w:t>
      </w:r>
      <w:r w:rsidR="00606448">
        <w:t>ds</w:t>
      </w:r>
      <w:r w:rsidRPr="0038607E">
        <w:t xml:space="preserve"> to a </w:t>
      </w:r>
      <w:proofErr w:type="spellStart"/>
      <w:r w:rsidRPr="0038607E">
        <w:t>timeseries</w:t>
      </w:r>
      <w:proofErr w:type="spellEnd"/>
      <w:r w:rsidRPr="0038607E">
        <w:t xml:space="preserve"> of macroeconomic drivers, such as GDP, as well as fuel and carbon prices on a global scale using </w:t>
      </w:r>
      <w:r w:rsidR="009C4D8E">
        <w:t>the</w:t>
      </w:r>
      <w:r w:rsidRPr="0038607E">
        <w:t xml:space="preserve"> regional disaggregation </w:t>
      </w:r>
      <w:r w:rsidR="009C4D8E">
        <w:t xml:space="preserve">of the world </w:t>
      </w:r>
      <w:r w:rsidRPr="0038607E">
        <w:t xml:space="preserve">into </w:t>
      </w:r>
      <w:r w:rsidR="009C4D8E">
        <w:t xml:space="preserve">the </w:t>
      </w:r>
      <w:r w:rsidRPr="0038607E">
        <w:t>28 regions</w:t>
      </w:r>
      <w:r w:rsidR="009C4D8E">
        <w:t xml:space="preserve"> </w:t>
      </w:r>
      <w:r w:rsidR="00606448">
        <w:t>of</w:t>
      </w:r>
      <w:r w:rsidR="009C4D8E">
        <w:t xml:space="preserve"> MUSE.</w:t>
      </w:r>
    </w:p>
    <w:p w14:paraId="24BA929D" w14:textId="77777777" w:rsidR="009C4D8E" w:rsidRDefault="0038607E" w:rsidP="001F5628">
      <w:r w:rsidRPr="0038607E">
        <w:t>The module works on a two-step approach. First</w:t>
      </w:r>
      <w:r w:rsidR="009C4D8E">
        <w:t>,</w:t>
      </w:r>
      <w:r w:rsidRPr="0038607E">
        <w:t xml:space="preserve"> the energy service demand </w:t>
      </w:r>
      <w:proofErr w:type="gramStart"/>
      <w:r w:rsidRPr="0038607E">
        <w:t>is dynamically calculated</w:t>
      </w:r>
      <w:proofErr w:type="gramEnd"/>
      <w:r w:rsidRPr="0038607E">
        <w:t xml:space="preserve"> using </w:t>
      </w:r>
      <w:proofErr w:type="spellStart"/>
      <w:r w:rsidRPr="0038607E">
        <w:t>macrodrivers</w:t>
      </w:r>
      <w:proofErr w:type="spellEnd"/>
      <w:r w:rsidRPr="0038607E">
        <w:t xml:space="preserve"> and price elasticity. Then the </w:t>
      </w:r>
      <w:r w:rsidR="009C4D8E">
        <w:t>TSM</w:t>
      </w:r>
      <w:r w:rsidRPr="0038607E">
        <w:t xml:space="preserve"> applies a merit order approach to define the technology market share, and, consequently</w:t>
      </w:r>
      <w:r w:rsidR="009C4D8E">
        <w:t>, the fuel mix.</w:t>
      </w:r>
    </w:p>
    <w:p w14:paraId="4B0D7109" w14:textId="41D279C3" w:rsidR="0038607E" w:rsidRDefault="0038607E" w:rsidP="001F5628">
      <w:r w:rsidRPr="0038607E">
        <w:t xml:space="preserve">In order to represent plausible transport futures and the effects of policy and technological changes, the </w:t>
      </w:r>
      <w:r w:rsidR="009C4D8E">
        <w:t>TSM</w:t>
      </w:r>
      <w:r w:rsidRPr="0038607E">
        <w:t xml:space="preserve"> applies a bottom-up approach to the technology characterization, based on unit technology cost, efficiencies, lifetime as well as emissions. In addition to the fuel demand, </w:t>
      </w:r>
      <w:r w:rsidR="009C4D8E">
        <w:t>the TSM</w:t>
      </w:r>
      <w:r w:rsidRPr="0038607E">
        <w:t xml:space="preserve"> also produces techno-economic (CAPEX, OPEX) as well as environmental performance (greenhouse gas emissions) indicators for all the transp</w:t>
      </w:r>
      <w:r w:rsidR="009C4D8E">
        <w:t>ort technologies, per region,</w:t>
      </w:r>
      <w:r w:rsidRPr="0038607E">
        <w:t xml:space="preserve"> simulated period</w:t>
      </w:r>
      <w:r w:rsidR="009C4D8E">
        <w:t xml:space="preserve"> and </w:t>
      </w:r>
      <w:proofErr w:type="spellStart"/>
      <w:r w:rsidR="009C4D8E">
        <w:t>timeslice</w:t>
      </w:r>
      <w:proofErr w:type="spellEnd"/>
      <w:r w:rsidRPr="0038607E">
        <w:t>.</w:t>
      </w:r>
    </w:p>
    <w:p w14:paraId="154F8756" w14:textId="5DB65683" w:rsidR="00B0128D" w:rsidRDefault="00B0128D" w:rsidP="001F5628">
      <w:r>
        <w:br w:type="page"/>
      </w:r>
    </w:p>
    <w:p w14:paraId="3032A176" w14:textId="4429DEA7" w:rsidR="008C222E" w:rsidRDefault="008C222E" w:rsidP="008C222E">
      <w:pPr>
        <w:pStyle w:val="Heading1"/>
      </w:pPr>
      <w:r>
        <w:lastRenderedPageBreak/>
        <w:t>Relationship with MUSE Modules</w:t>
      </w:r>
    </w:p>
    <w:p w14:paraId="63349C4B" w14:textId="49A4D483" w:rsidR="009C4D8E" w:rsidRDefault="0038607E" w:rsidP="00AA7532">
      <w:r w:rsidRPr="0038607E">
        <w:t xml:space="preserve">The </w:t>
      </w:r>
      <w:r w:rsidR="009C4D8E">
        <w:t xml:space="preserve">main </w:t>
      </w:r>
      <w:r w:rsidRPr="0038607E">
        <w:t xml:space="preserve">information workflow between the </w:t>
      </w:r>
      <w:r w:rsidR="009C4D8E">
        <w:t>TSM</w:t>
      </w:r>
      <w:r w:rsidRPr="0038607E">
        <w:t xml:space="preserve"> and the core MUSE algorithm, the Market Clearing Algorithm (</w:t>
      </w:r>
      <w:r w:rsidR="009C4D8E">
        <w:t>MCA</w:t>
      </w:r>
      <w:r w:rsidRPr="0038607E">
        <w:t>)</w:t>
      </w:r>
      <w:r w:rsidR="009C4D8E">
        <w:t xml:space="preserve">, </w:t>
      </w:r>
      <w:r w:rsidRPr="0038607E">
        <w:t xml:space="preserve">is shown for a generic iteration in a generic </w:t>
      </w:r>
      <w:r w:rsidR="00606448">
        <w:t xml:space="preserve">region, </w:t>
      </w:r>
      <w:proofErr w:type="gramStart"/>
      <w:r w:rsidRPr="0038607E">
        <w:t>time period</w:t>
      </w:r>
      <w:proofErr w:type="gramEnd"/>
      <w:r w:rsidRPr="0038607E">
        <w:t xml:space="preserve"> and </w:t>
      </w:r>
      <w:proofErr w:type="spellStart"/>
      <w:r w:rsidRPr="0038607E">
        <w:t>timeslice</w:t>
      </w:r>
      <w:proofErr w:type="spellEnd"/>
      <w:r w:rsidRPr="0038607E">
        <w:t xml:space="preserve"> in Figure </w:t>
      </w:r>
      <w:r w:rsidR="009C4D8E">
        <w:t>1</w:t>
      </w:r>
      <w:r w:rsidRPr="0038607E">
        <w:t xml:space="preserve">. </w:t>
      </w:r>
      <w:r w:rsidR="009C4D8E">
        <w:t>T</w:t>
      </w:r>
      <w:r w:rsidRPr="0038607E">
        <w:t xml:space="preserve">he module </w:t>
      </w:r>
      <w:r w:rsidR="009C4D8E">
        <w:t xml:space="preserve">also </w:t>
      </w:r>
      <w:r w:rsidRPr="0038607E">
        <w:t xml:space="preserve">uploads exogenous parameters </w:t>
      </w:r>
      <w:r w:rsidR="00606448">
        <w:t>to project</w:t>
      </w:r>
      <w:r w:rsidRPr="0038607E">
        <w:t xml:space="preserve"> the energy service demand (</w:t>
      </w:r>
      <w:proofErr w:type="spellStart"/>
      <w:r w:rsidRPr="0038607E">
        <w:t>macrodrivers</w:t>
      </w:r>
      <w:proofErr w:type="spellEnd"/>
      <w:r w:rsidRPr="0038607E">
        <w:t xml:space="preserve">) and </w:t>
      </w:r>
      <w:r w:rsidR="009C4D8E">
        <w:t>to populate</w:t>
      </w:r>
      <w:r w:rsidRPr="0038607E">
        <w:t xml:space="preserve"> the techno-economic and environmental characteri</w:t>
      </w:r>
      <w:r w:rsidR="009C4D8E">
        <w:t>stics</w:t>
      </w:r>
      <w:r w:rsidRPr="0038607E">
        <w:t xml:space="preserve"> of </w:t>
      </w:r>
      <w:r w:rsidR="009C4D8E">
        <w:t>the technologies per region.</w:t>
      </w:r>
    </w:p>
    <w:p w14:paraId="7FAF4162" w14:textId="32B6966E" w:rsidR="001F5628" w:rsidRDefault="0038607E" w:rsidP="00AA7532">
      <w:r w:rsidRPr="0038607E">
        <w:t>The detailed description of the data</w:t>
      </w:r>
      <w:bookmarkStart w:id="0" w:name="_GoBack"/>
      <w:bookmarkEnd w:id="0"/>
      <w:r w:rsidRPr="0038607E">
        <w:t xml:space="preserve"> exchange protocol between </w:t>
      </w:r>
      <w:r w:rsidR="009C4D8E">
        <w:t xml:space="preserve">TSM </w:t>
      </w:r>
      <w:r w:rsidRPr="0038607E">
        <w:t xml:space="preserve">and MUSE is also in Table </w:t>
      </w:r>
      <w:r w:rsidR="009C4D8E">
        <w:t>1.</w:t>
      </w:r>
    </w:p>
    <w:p w14:paraId="004266AC" w14:textId="77777777" w:rsidR="00464A2B" w:rsidRDefault="00464A2B" w:rsidP="00AA7532"/>
    <w:p w14:paraId="016C3E6D" w14:textId="1D7E7D60" w:rsidR="001F5628" w:rsidRDefault="00CB6B5B" w:rsidP="001F5628">
      <w:pPr>
        <w:jc w:val="center"/>
      </w:pPr>
      <w:r>
        <w:rPr>
          <w:noProof/>
          <w:lang w:eastAsia="en-GB"/>
        </w:rPr>
        <w:drawing>
          <wp:inline distT="0" distB="0" distL="0" distR="0" wp14:anchorId="189C9382" wp14:editId="10644129">
            <wp:extent cx="4377600" cy="212040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portReducedFor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7600" cy="212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A37C58" w14:textId="3D282AAA" w:rsidR="001F5628" w:rsidRPr="001F5628" w:rsidRDefault="000D79BD" w:rsidP="000D79BD">
      <w:pPr>
        <w:pStyle w:val="Caption1"/>
      </w:pPr>
      <w:r>
        <w:t xml:space="preserve">Figure 1: </w:t>
      </w:r>
      <w:r w:rsidR="0085474F">
        <w:t xml:space="preserve">Major interactions between </w:t>
      </w:r>
      <w:r w:rsidR="0038607E">
        <w:t>TSM</w:t>
      </w:r>
      <w:r w:rsidR="0085474F">
        <w:t xml:space="preserve"> and the rest of MUSE</w:t>
      </w:r>
    </w:p>
    <w:p w14:paraId="36211BB2" w14:textId="77777777" w:rsidR="00AA7532" w:rsidRDefault="00AA7532" w:rsidP="00AA7532"/>
    <w:p w14:paraId="29EADD42" w14:textId="5A865B25" w:rsidR="0085474F" w:rsidRPr="001F5628" w:rsidRDefault="00DB5B27" w:rsidP="0085474F">
      <w:pPr>
        <w:pStyle w:val="Caption1"/>
      </w:pPr>
      <w:proofErr w:type="gramStart"/>
      <w:r>
        <w:t xml:space="preserve">Table 1: Description of the data exchange protocol for the </w:t>
      </w:r>
      <w:r w:rsidR="0038607E">
        <w:t>TSM</w:t>
      </w:r>
      <w:r w:rsidR="00127480">
        <w:t>.</w:t>
      </w:r>
      <w:proofErr w:type="gramEnd"/>
    </w:p>
    <w:tbl>
      <w:tblPr>
        <w:tblStyle w:val="GridTable2"/>
        <w:tblW w:w="9070" w:type="dxa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AA7532" w14:paraId="0239B227" w14:textId="77777777" w:rsidTr="000D79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tcBorders>
              <w:bottom w:val="single" w:sz="24" w:space="0" w:color="auto"/>
            </w:tcBorders>
          </w:tcPr>
          <w:p w14:paraId="6F72B4C6" w14:textId="17D4F93C" w:rsidR="00CE6FBE" w:rsidRDefault="0038607E" w:rsidP="00CE6FBE">
            <w:r>
              <w:t>TSM</w:t>
            </w:r>
            <w:r w:rsidR="00AA7532">
              <w:t xml:space="preserve"> </w:t>
            </w:r>
            <w:r w:rsidR="00542C27">
              <w:t xml:space="preserve">Key </w:t>
            </w:r>
            <w:r w:rsidR="00CE6FBE">
              <w:t>Inputs</w:t>
            </w:r>
          </w:p>
        </w:tc>
        <w:tc>
          <w:tcPr>
            <w:tcW w:w="4535" w:type="dxa"/>
            <w:tcBorders>
              <w:bottom w:val="single" w:sz="24" w:space="0" w:color="auto"/>
            </w:tcBorders>
          </w:tcPr>
          <w:p w14:paraId="1E8E111C" w14:textId="7B085949" w:rsidR="00CE6FBE" w:rsidRDefault="0038607E" w:rsidP="00CE6F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TSM</w:t>
            </w:r>
            <w:r w:rsidR="00AA7532">
              <w:t xml:space="preserve"> </w:t>
            </w:r>
            <w:r w:rsidR="00542C27">
              <w:t xml:space="preserve">Key </w:t>
            </w:r>
            <w:r w:rsidR="00CE6FBE">
              <w:t>Outputs</w:t>
            </w:r>
          </w:p>
        </w:tc>
      </w:tr>
      <w:tr w:rsidR="00AA7532" w14:paraId="51FB55BE" w14:textId="77777777" w:rsidTr="000D7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14:paraId="364D2341" w14:textId="7E1B6D2B" w:rsidR="00924D6C" w:rsidRPr="00332A62" w:rsidRDefault="00924D6C" w:rsidP="00924D6C">
            <w:pPr>
              <w:rPr>
                <w:sz w:val="20"/>
              </w:rPr>
            </w:pPr>
            <w:r w:rsidRPr="00332A62">
              <w:rPr>
                <w:sz w:val="20"/>
              </w:rPr>
              <w:t>MUSE core dynamic variables</w:t>
            </w:r>
          </w:p>
          <w:p w14:paraId="38C473F6" w14:textId="66E7E1A7" w:rsidR="000D79BD" w:rsidRPr="005439FF" w:rsidRDefault="005439FF" w:rsidP="005439FF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5439FF">
              <w:rPr>
                <w:b w:val="0"/>
                <w:sz w:val="20"/>
              </w:rPr>
              <w:t>Forward fuel price for each time perio</w:t>
            </w:r>
            <w:r>
              <w:rPr>
                <w:b w:val="0"/>
                <w:sz w:val="20"/>
              </w:rPr>
              <w:t xml:space="preserve">d, region and </w:t>
            </w:r>
            <w:proofErr w:type="spellStart"/>
            <w:r>
              <w:rPr>
                <w:b w:val="0"/>
                <w:sz w:val="20"/>
              </w:rPr>
              <w:t>timeslice</w:t>
            </w:r>
            <w:proofErr w:type="spellEnd"/>
            <w:r>
              <w:rPr>
                <w:b w:val="0"/>
                <w:sz w:val="20"/>
              </w:rPr>
              <w:t xml:space="preserve"> (</w:t>
            </w:r>
            <w:r w:rsidRPr="005439FF">
              <w:rPr>
                <w:b w:val="0"/>
                <w:sz w:val="20"/>
              </w:rPr>
              <w:t>MUSD</w:t>
            </w:r>
            <w:r w:rsidRPr="005439FF">
              <w:rPr>
                <w:b w:val="0"/>
                <w:sz w:val="20"/>
                <w:vertAlign w:val="subscript"/>
              </w:rPr>
              <w:t>2010</w:t>
            </w:r>
            <w:r>
              <w:rPr>
                <w:b w:val="0"/>
                <w:sz w:val="20"/>
              </w:rPr>
              <w:t>/</w:t>
            </w:r>
            <w:r w:rsidRPr="005439FF">
              <w:rPr>
                <w:b w:val="0"/>
                <w:sz w:val="20"/>
              </w:rPr>
              <w:t>PJ</w:t>
            </w:r>
            <w:r>
              <w:rPr>
                <w:b w:val="0"/>
                <w:sz w:val="20"/>
              </w:rPr>
              <w:t>)</w:t>
            </w:r>
            <w:r w:rsidRPr="005439FF">
              <w:rPr>
                <w:b w:val="0"/>
                <w:sz w:val="20"/>
              </w:rPr>
              <w:t xml:space="preserve"> </w:t>
            </w:r>
          </w:p>
          <w:p w14:paraId="14C5BFB7" w14:textId="58145198" w:rsidR="005439FF" w:rsidRDefault="005439FF" w:rsidP="005439FF">
            <w:pPr>
              <w:pStyle w:val="ListParagraph"/>
              <w:numPr>
                <w:ilvl w:val="0"/>
                <w:numId w:val="1"/>
              </w:num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Forward c</w:t>
            </w:r>
            <w:r w:rsidRPr="005439FF">
              <w:rPr>
                <w:b w:val="0"/>
                <w:sz w:val="20"/>
              </w:rPr>
              <w:t>arbo</w:t>
            </w:r>
            <w:r>
              <w:rPr>
                <w:b w:val="0"/>
                <w:sz w:val="20"/>
              </w:rPr>
              <w:t>n price (MUSD</w:t>
            </w:r>
            <w:r w:rsidRPr="005439FF">
              <w:rPr>
                <w:b w:val="0"/>
                <w:sz w:val="20"/>
                <w:vertAlign w:val="subscript"/>
              </w:rPr>
              <w:t>2010</w:t>
            </w:r>
            <w:r>
              <w:rPr>
                <w:b w:val="0"/>
                <w:sz w:val="20"/>
              </w:rPr>
              <w:t>/GtCO</w:t>
            </w:r>
            <w:r w:rsidRPr="005439FF">
              <w:rPr>
                <w:b w:val="0"/>
                <w:sz w:val="20"/>
                <w:vertAlign w:val="subscript"/>
              </w:rPr>
              <w:t>2</w:t>
            </w:r>
            <w:r>
              <w:rPr>
                <w:b w:val="0"/>
                <w:sz w:val="20"/>
              </w:rPr>
              <w:t>)</w:t>
            </w:r>
          </w:p>
          <w:p w14:paraId="42B9CE62" w14:textId="77777777" w:rsidR="005439FF" w:rsidRDefault="005439FF" w:rsidP="005439FF">
            <w:pPr>
              <w:pStyle w:val="ListParagraph"/>
              <w:ind w:left="360"/>
              <w:rPr>
                <w:b w:val="0"/>
                <w:sz w:val="20"/>
              </w:rPr>
            </w:pPr>
          </w:p>
          <w:p w14:paraId="19C52D40" w14:textId="77777777" w:rsidR="009C4D8E" w:rsidRPr="005439FF" w:rsidRDefault="009C4D8E" w:rsidP="005439FF">
            <w:pPr>
              <w:pStyle w:val="ListParagraph"/>
              <w:ind w:left="360"/>
              <w:rPr>
                <w:b w:val="0"/>
                <w:sz w:val="20"/>
              </w:rPr>
            </w:pPr>
          </w:p>
          <w:p w14:paraId="4DBF30E0" w14:textId="184B3F39" w:rsidR="00924D6C" w:rsidRPr="00332A62" w:rsidRDefault="009C4D8E" w:rsidP="00924D6C">
            <w:pPr>
              <w:rPr>
                <w:sz w:val="20"/>
              </w:rPr>
            </w:pPr>
            <w:r>
              <w:rPr>
                <w:sz w:val="20"/>
              </w:rPr>
              <w:t>TSM</w:t>
            </w:r>
            <w:r w:rsidR="00924D6C" w:rsidRPr="00332A62">
              <w:rPr>
                <w:sz w:val="20"/>
              </w:rPr>
              <w:t>-specific input parameters</w:t>
            </w:r>
          </w:p>
          <w:p w14:paraId="1ADF04AE" w14:textId="77777777" w:rsidR="008307BE" w:rsidRPr="005439FF" w:rsidRDefault="005439FF" w:rsidP="005439FF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5439FF">
              <w:rPr>
                <w:b w:val="0"/>
                <w:sz w:val="20"/>
              </w:rPr>
              <w:t>Techno-economic characterisation (conversion efficiency, unit investment and operating costs) of each transport technology by type in each time period and region</w:t>
            </w:r>
          </w:p>
          <w:p w14:paraId="753469D2" w14:textId="77777777" w:rsidR="005439FF" w:rsidRPr="005439FF" w:rsidRDefault="005439FF" w:rsidP="005439FF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5439FF">
              <w:rPr>
                <w:b w:val="0"/>
                <w:sz w:val="20"/>
              </w:rPr>
              <w:t>Existing stock for the model base year by technology type, including their retirement profile</w:t>
            </w:r>
          </w:p>
          <w:p w14:paraId="7A742EE6" w14:textId="1F8A32EA" w:rsidR="005439FF" w:rsidRPr="00332A62" w:rsidRDefault="00CB6B5B" w:rsidP="005439FF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b w:val="0"/>
                <w:sz w:val="20"/>
              </w:rPr>
              <w:t xml:space="preserve">Forward </w:t>
            </w:r>
            <w:proofErr w:type="spellStart"/>
            <w:r>
              <w:rPr>
                <w:b w:val="0"/>
                <w:sz w:val="20"/>
              </w:rPr>
              <w:t>macrodriver</w:t>
            </w:r>
            <w:proofErr w:type="spellEnd"/>
            <w:r>
              <w:rPr>
                <w:b w:val="0"/>
                <w:sz w:val="20"/>
              </w:rPr>
              <w:t xml:space="preserve"> projection</w:t>
            </w:r>
          </w:p>
        </w:tc>
        <w:tc>
          <w:tcPr>
            <w:tcW w:w="4535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37F9D0" w14:textId="7280AECF" w:rsidR="00924D6C" w:rsidRPr="00332A62" w:rsidRDefault="00924D6C" w:rsidP="00924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 w:rsidRPr="00332A62">
              <w:rPr>
                <w:b/>
                <w:sz w:val="20"/>
              </w:rPr>
              <w:t>MUSE core dynamic variables</w:t>
            </w:r>
          </w:p>
          <w:p w14:paraId="6CA99D1D" w14:textId="57BC0EF2" w:rsidR="005439FF" w:rsidRDefault="005439FF" w:rsidP="005439FF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Forward f</w:t>
            </w:r>
            <w:r w:rsidR="009C4D8E">
              <w:rPr>
                <w:sz w:val="20"/>
              </w:rPr>
              <w:t>uel demand for each region</w:t>
            </w:r>
            <w:r w:rsidRPr="005439FF">
              <w:rPr>
                <w:sz w:val="20"/>
              </w:rPr>
              <w:t xml:space="preserve"> with </w:t>
            </w:r>
            <w:proofErr w:type="spellStart"/>
            <w:r w:rsidRPr="005439FF">
              <w:rPr>
                <w:sz w:val="20"/>
              </w:rPr>
              <w:t>t</w:t>
            </w:r>
            <w:r>
              <w:rPr>
                <w:sz w:val="20"/>
              </w:rPr>
              <w:t>imeslice</w:t>
            </w:r>
            <w:proofErr w:type="spellEnd"/>
            <w:r>
              <w:rPr>
                <w:sz w:val="20"/>
              </w:rPr>
              <w:t xml:space="preserve"> disaggregation (</w:t>
            </w:r>
            <w:r w:rsidRPr="005439FF">
              <w:rPr>
                <w:sz w:val="20"/>
              </w:rPr>
              <w:t>PJ</w:t>
            </w:r>
            <w:r>
              <w:rPr>
                <w:sz w:val="20"/>
              </w:rPr>
              <w:t>/</w:t>
            </w:r>
            <w:r w:rsidRPr="005439FF">
              <w:rPr>
                <w:sz w:val="20"/>
              </w:rPr>
              <w:t>year)</w:t>
            </w:r>
          </w:p>
          <w:p w14:paraId="60415358" w14:textId="390158F7" w:rsidR="005439FF" w:rsidRDefault="005439FF" w:rsidP="005439FF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Forward e</w:t>
            </w:r>
            <w:r w:rsidRPr="005439FF">
              <w:rPr>
                <w:sz w:val="20"/>
              </w:rPr>
              <w:t xml:space="preserve">missions for each time period, region and </w:t>
            </w:r>
            <w:proofErr w:type="spellStart"/>
            <w:r w:rsidRPr="005439FF">
              <w:rPr>
                <w:sz w:val="20"/>
              </w:rPr>
              <w:t>timeslice</w:t>
            </w:r>
            <w:proofErr w:type="spellEnd"/>
            <w:r w:rsidRPr="005439FF">
              <w:rPr>
                <w:sz w:val="20"/>
              </w:rPr>
              <w:t xml:space="preserve"> (GtCO</w:t>
            </w:r>
            <w:r w:rsidRPr="005439FF">
              <w:rPr>
                <w:sz w:val="20"/>
                <w:vertAlign w:val="subscript"/>
              </w:rPr>
              <w:t>2</w:t>
            </w:r>
            <w:r>
              <w:rPr>
                <w:sz w:val="20"/>
              </w:rPr>
              <w:t>/year</w:t>
            </w:r>
            <w:r w:rsidRPr="005439FF">
              <w:rPr>
                <w:sz w:val="20"/>
              </w:rPr>
              <w:t>)</w:t>
            </w:r>
          </w:p>
          <w:p w14:paraId="6D2F6EA6" w14:textId="77777777" w:rsidR="005439FF" w:rsidRPr="005439FF" w:rsidRDefault="005439FF" w:rsidP="005439FF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  <w:p w14:paraId="3F848445" w14:textId="79AF0A29" w:rsidR="00924D6C" w:rsidRPr="0038607E" w:rsidRDefault="009C4D8E" w:rsidP="003860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TSM</w:t>
            </w:r>
            <w:r w:rsidR="00924D6C" w:rsidRPr="0038607E">
              <w:rPr>
                <w:b/>
                <w:sz w:val="20"/>
              </w:rPr>
              <w:t>-specific outputs</w:t>
            </w:r>
          </w:p>
          <w:p w14:paraId="3668B051" w14:textId="1C0A722A" w:rsidR="005439FF" w:rsidRPr="005439FF" w:rsidRDefault="005439FF" w:rsidP="005439FF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5439FF">
              <w:rPr>
                <w:sz w:val="20"/>
              </w:rPr>
              <w:t xml:space="preserve">Investment and retirement in capacity </w:t>
            </w:r>
            <w:r w:rsidRPr="005439FF">
              <w:rPr>
                <w:sz w:val="20"/>
              </w:rPr>
              <w:t xml:space="preserve">terms </w:t>
            </w:r>
            <w:r>
              <w:rPr>
                <w:sz w:val="20"/>
              </w:rPr>
              <w:t xml:space="preserve">in the transport sector </w:t>
            </w:r>
            <w:r w:rsidRPr="005439FF">
              <w:rPr>
                <w:sz w:val="20"/>
              </w:rPr>
              <w:t>by time period, technology type and region</w:t>
            </w:r>
          </w:p>
          <w:p w14:paraId="027B407E" w14:textId="77777777" w:rsidR="008307BE" w:rsidRDefault="005439FF" w:rsidP="005439FF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5439FF">
              <w:rPr>
                <w:sz w:val="20"/>
              </w:rPr>
              <w:t>Aggregate CAPEX and OPEX by time pe</w:t>
            </w:r>
            <w:r>
              <w:rPr>
                <w:sz w:val="20"/>
              </w:rPr>
              <w:t xml:space="preserve">riod, </w:t>
            </w:r>
            <w:proofErr w:type="spellStart"/>
            <w:r>
              <w:rPr>
                <w:sz w:val="20"/>
              </w:rPr>
              <w:t>timeslice</w:t>
            </w:r>
            <w:proofErr w:type="spellEnd"/>
            <w:r w:rsidRPr="005439FF">
              <w:rPr>
                <w:sz w:val="20"/>
              </w:rPr>
              <w:t xml:space="preserve"> and region</w:t>
            </w:r>
          </w:p>
          <w:p w14:paraId="56381841" w14:textId="21EAAB49" w:rsidR="005439FF" w:rsidRPr="00332A62" w:rsidRDefault="005439FF" w:rsidP="005439FF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5439FF">
              <w:rPr>
                <w:sz w:val="20"/>
              </w:rPr>
              <w:t>Transport technologies details (e.g. activity, energy consumption and emissions) by time slice, technology type and region</w:t>
            </w:r>
          </w:p>
        </w:tc>
      </w:tr>
    </w:tbl>
    <w:p w14:paraId="6A423C06" w14:textId="193E4B9C" w:rsidR="008C222E" w:rsidRPr="008E59EF" w:rsidRDefault="00AD18BB" w:rsidP="008E59EF">
      <w:pPr>
        <w:pStyle w:val="Heading1"/>
      </w:pPr>
      <w:r>
        <w:t>References</w:t>
      </w:r>
    </w:p>
    <w:p w14:paraId="7D13E703" w14:textId="791067B7" w:rsidR="008C222E" w:rsidRDefault="00F2305D" w:rsidP="00F2305D">
      <w:pPr>
        <w:pStyle w:val="ListParagraph"/>
        <w:numPr>
          <w:ilvl w:val="0"/>
          <w:numId w:val="2"/>
        </w:numPr>
      </w:pPr>
      <w:proofErr w:type="gramStart"/>
      <w:r w:rsidRPr="00F2305D">
        <w:rPr>
          <w:color w:val="000000"/>
        </w:rPr>
        <w:t>Transport, energy and CO</w:t>
      </w:r>
      <w:r w:rsidRPr="00F2305D">
        <w:rPr>
          <w:color w:val="000000"/>
          <w:vertAlign w:val="subscript"/>
        </w:rPr>
        <w:t>2</w:t>
      </w:r>
      <w:r w:rsidRPr="00F2305D">
        <w:rPr>
          <w:color w:val="000000"/>
        </w:rPr>
        <w:t>.</w:t>
      </w:r>
      <w:proofErr w:type="gramEnd"/>
      <w:r w:rsidRPr="00F2305D">
        <w:rPr>
          <w:color w:val="000000"/>
        </w:rPr>
        <w:t xml:space="preserve"> </w:t>
      </w:r>
      <w:proofErr w:type="gramStart"/>
      <w:r w:rsidRPr="00F2305D">
        <w:rPr>
          <w:color w:val="000000"/>
        </w:rPr>
        <w:t>Moving toward sustainability.</w:t>
      </w:r>
      <w:proofErr w:type="gramEnd"/>
      <w:r w:rsidRPr="00F2305D">
        <w:rPr>
          <w:color w:val="000000"/>
        </w:rPr>
        <w:t xml:space="preserve"> </w:t>
      </w:r>
      <w:proofErr w:type="gramStart"/>
      <w:r w:rsidRPr="00F2305D">
        <w:rPr>
          <w:color w:val="000000"/>
        </w:rPr>
        <w:t>International Energy Agency, 2009</w:t>
      </w:r>
      <w:r>
        <w:rPr>
          <w:color w:val="000000"/>
        </w:rPr>
        <w:t>.</w:t>
      </w:r>
      <w:proofErr w:type="gramEnd"/>
    </w:p>
    <w:sectPr w:rsidR="008C222E" w:rsidSect="00B40D4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C2A2F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07EDC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22069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A36CC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18EBB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0848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CA69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0221C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CFED0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1F874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5B403DC"/>
    <w:multiLevelType w:val="hybridMultilevel"/>
    <w:tmpl w:val="7BD03B4E"/>
    <w:lvl w:ilvl="0" w:tplc="2A86CC3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C454012"/>
    <w:multiLevelType w:val="hybridMultilevel"/>
    <w:tmpl w:val="8D04571A"/>
    <w:lvl w:ilvl="0" w:tplc="C1E2A138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22E"/>
    <w:rsid w:val="00080AAA"/>
    <w:rsid w:val="000D79BD"/>
    <w:rsid w:val="00127480"/>
    <w:rsid w:val="001F5628"/>
    <w:rsid w:val="00332A62"/>
    <w:rsid w:val="00332CB4"/>
    <w:rsid w:val="0038607E"/>
    <w:rsid w:val="003A5AF5"/>
    <w:rsid w:val="004502A1"/>
    <w:rsid w:val="004602E5"/>
    <w:rsid w:val="00464A2B"/>
    <w:rsid w:val="00542C27"/>
    <w:rsid w:val="005439FF"/>
    <w:rsid w:val="00593577"/>
    <w:rsid w:val="00606448"/>
    <w:rsid w:val="006D00B0"/>
    <w:rsid w:val="00720E6B"/>
    <w:rsid w:val="007307B4"/>
    <w:rsid w:val="00743B6B"/>
    <w:rsid w:val="007D7D52"/>
    <w:rsid w:val="00816CCA"/>
    <w:rsid w:val="008307BE"/>
    <w:rsid w:val="00832154"/>
    <w:rsid w:val="0085474F"/>
    <w:rsid w:val="008608EC"/>
    <w:rsid w:val="00892ABF"/>
    <w:rsid w:val="008C222E"/>
    <w:rsid w:val="008E59EF"/>
    <w:rsid w:val="00924D6C"/>
    <w:rsid w:val="00931904"/>
    <w:rsid w:val="009C23A9"/>
    <w:rsid w:val="009C4D8E"/>
    <w:rsid w:val="00A94B4D"/>
    <w:rsid w:val="00AA7532"/>
    <w:rsid w:val="00AB696E"/>
    <w:rsid w:val="00AD18BB"/>
    <w:rsid w:val="00AF72EF"/>
    <w:rsid w:val="00B0128D"/>
    <w:rsid w:val="00B40D4B"/>
    <w:rsid w:val="00B94CFD"/>
    <w:rsid w:val="00BB3233"/>
    <w:rsid w:val="00CB3911"/>
    <w:rsid w:val="00CB6B5B"/>
    <w:rsid w:val="00CC6FC1"/>
    <w:rsid w:val="00CE6FBE"/>
    <w:rsid w:val="00D611AA"/>
    <w:rsid w:val="00DB2A36"/>
    <w:rsid w:val="00DB5B27"/>
    <w:rsid w:val="00ED6AB3"/>
    <w:rsid w:val="00F2305D"/>
    <w:rsid w:val="00FA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5D7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ABF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8C22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2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22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C222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CE6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Accent5">
    <w:name w:val="Grid Table 2 Accent 5"/>
    <w:basedOn w:val="TableNormal"/>
    <w:uiPriority w:val="47"/>
    <w:rsid w:val="00CE6FBE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3">
    <w:name w:val="Grid Table 3"/>
    <w:basedOn w:val="TableNormal"/>
    <w:uiPriority w:val="48"/>
    <w:rsid w:val="00CE6FB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2">
    <w:name w:val="Grid Table 2"/>
    <w:basedOn w:val="TableNormal"/>
    <w:uiPriority w:val="47"/>
    <w:rsid w:val="00CE6FB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BB32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56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628"/>
    <w:rPr>
      <w:rFonts w:ascii="Tahoma" w:hAnsi="Tahoma" w:cs="Tahoma"/>
      <w:sz w:val="16"/>
      <w:szCs w:val="16"/>
    </w:rPr>
  </w:style>
  <w:style w:type="paragraph" w:customStyle="1" w:styleId="Caption1">
    <w:name w:val="Caption1"/>
    <w:basedOn w:val="Normal"/>
    <w:qFormat/>
    <w:rsid w:val="00931904"/>
    <w:pPr>
      <w:spacing w:before="10" w:after="10"/>
      <w:ind w:left="720" w:firstLine="720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ABF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8C22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2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22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C222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CE6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Accent5">
    <w:name w:val="Grid Table 2 Accent 5"/>
    <w:basedOn w:val="TableNormal"/>
    <w:uiPriority w:val="47"/>
    <w:rsid w:val="00CE6FBE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3">
    <w:name w:val="Grid Table 3"/>
    <w:basedOn w:val="TableNormal"/>
    <w:uiPriority w:val="48"/>
    <w:rsid w:val="00CE6FB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2">
    <w:name w:val="Grid Table 2"/>
    <w:basedOn w:val="TableNormal"/>
    <w:uiPriority w:val="47"/>
    <w:rsid w:val="00CE6FB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BB32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56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628"/>
    <w:rPr>
      <w:rFonts w:ascii="Tahoma" w:hAnsi="Tahoma" w:cs="Tahoma"/>
      <w:sz w:val="16"/>
      <w:szCs w:val="16"/>
    </w:rPr>
  </w:style>
  <w:style w:type="paragraph" w:customStyle="1" w:styleId="Caption1">
    <w:name w:val="Caption1"/>
    <w:basedOn w:val="Normal"/>
    <w:qFormat/>
    <w:rsid w:val="00931904"/>
    <w:pPr>
      <w:spacing w:before="10" w:after="10"/>
      <w:ind w:left="720" w:firstLine="72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9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Giarola, Sara</cp:lastModifiedBy>
  <cp:revision>11</cp:revision>
  <dcterms:created xsi:type="dcterms:W3CDTF">2016-03-31T07:27:00Z</dcterms:created>
  <dcterms:modified xsi:type="dcterms:W3CDTF">2016-03-31T10:16:00Z</dcterms:modified>
</cp:coreProperties>
</file>