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BC43F" w14:textId="77777777" w:rsidR="005C18A9" w:rsidRDefault="005C18A9" w:rsidP="005E41EF"/>
    <w:p w14:paraId="3C9D022D" w14:textId="046A58D1" w:rsidR="00663512" w:rsidRPr="007B3B90" w:rsidRDefault="00E01A54" w:rsidP="000927BC">
      <w:pPr>
        <w:jc w:val="center"/>
        <w:rPr>
          <w:sz w:val="56"/>
          <w:szCs w:val="56"/>
        </w:rPr>
      </w:pPr>
      <w:r w:rsidRPr="007B3B90">
        <w:rPr>
          <w:sz w:val="56"/>
          <w:szCs w:val="56"/>
        </w:rPr>
        <w:t>STAR</w:t>
      </w:r>
      <w:r w:rsidR="000927BC" w:rsidRPr="007B3B90">
        <w:rPr>
          <w:sz w:val="56"/>
          <w:szCs w:val="56"/>
        </w:rPr>
        <w:t xml:space="preserve"> Study </w:t>
      </w:r>
    </w:p>
    <w:p w14:paraId="6E694200" w14:textId="7A935E9B" w:rsidR="00663512" w:rsidRPr="007B3B90" w:rsidRDefault="00663512" w:rsidP="00DD4907"/>
    <w:p w14:paraId="5715E90B" w14:textId="77777777" w:rsidR="00663512" w:rsidRPr="007B3B90" w:rsidRDefault="00663512" w:rsidP="00663512"/>
    <w:p w14:paraId="7E9A2C53" w14:textId="77777777" w:rsidR="00663512" w:rsidRPr="007B3B90" w:rsidRDefault="00663512" w:rsidP="00663512"/>
    <w:p w14:paraId="672F33ED" w14:textId="77777777" w:rsidR="000927BC" w:rsidRPr="007B3B90" w:rsidRDefault="000927BC" w:rsidP="000927BC">
      <w:pPr>
        <w:jc w:val="both"/>
        <w:rPr>
          <w:rFonts w:cs="Arial"/>
          <w:iCs/>
          <w:szCs w:val="22"/>
        </w:rPr>
      </w:pPr>
    </w:p>
    <w:p w14:paraId="1873C13E" w14:textId="77777777" w:rsidR="000927BC" w:rsidRPr="007B3B90" w:rsidRDefault="000927BC" w:rsidP="000927BC">
      <w:pPr>
        <w:jc w:val="both"/>
        <w:rPr>
          <w:rFonts w:cs="Arial"/>
          <w:iCs/>
          <w:sz w:val="28"/>
          <w:szCs w:val="28"/>
        </w:rPr>
      </w:pPr>
    </w:p>
    <w:p w14:paraId="6A2E37DF" w14:textId="33F4E82A" w:rsidR="00663512" w:rsidRPr="007B3B90" w:rsidRDefault="000927BC" w:rsidP="000927BC">
      <w:pPr>
        <w:jc w:val="both"/>
        <w:rPr>
          <w:rFonts w:cs="Arial"/>
          <w:iCs/>
          <w:sz w:val="28"/>
          <w:szCs w:val="28"/>
        </w:rPr>
      </w:pPr>
      <w:proofErr w:type="spellStart"/>
      <w:r w:rsidRPr="007B3B90">
        <w:rPr>
          <w:rFonts w:cs="Arial"/>
          <w:iCs/>
          <w:sz w:val="28"/>
          <w:szCs w:val="28"/>
          <w:u w:val="single"/>
        </w:rPr>
        <w:t>S</w:t>
      </w:r>
      <w:r w:rsidRPr="007B3B90">
        <w:rPr>
          <w:rFonts w:cs="Arial"/>
          <w:iCs/>
          <w:sz w:val="28"/>
          <w:szCs w:val="28"/>
        </w:rPr>
        <w:t>hor</w:t>
      </w:r>
      <w:r w:rsidRPr="007B3B90">
        <w:rPr>
          <w:rFonts w:cs="Arial"/>
          <w:iCs/>
          <w:sz w:val="28"/>
          <w:szCs w:val="28"/>
          <w:u w:val="single"/>
        </w:rPr>
        <w:t>T</w:t>
      </w:r>
      <w:proofErr w:type="spellEnd"/>
      <w:r w:rsidRPr="007B3B90">
        <w:rPr>
          <w:rFonts w:cs="Arial"/>
          <w:iCs/>
          <w:sz w:val="28"/>
          <w:szCs w:val="28"/>
        </w:rPr>
        <w:t xml:space="preserve"> stay </w:t>
      </w:r>
      <w:r w:rsidRPr="007B3B90">
        <w:rPr>
          <w:rFonts w:cs="Arial"/>
          <w:iCs/>
          <w:sz w:val="28"/>
          <w:szCs w:val="28"/>
          <w:u w:val="single"/>
        </w:rPr>
        <w:t>A</w:t>
      </w:r>
      <w:r w:rsidRPr="007B3B90">
        <w:rPr>
          <w:rFonts w:cs="Arial"/>
          <w:iCs/>
          <w:sz w:val="28"/>
          <w:szCs w:val="28"/>
        </w:rPr>
        <w:t xml:space="preserve">neurysm </w:t>
      </w:r>
      <w:r w:rsidRPr="007B3B90">
        <w:rPr>
          <w:rFonts w:cs="Arial"/>
          <w:iCs/>
          <w:sz w:val="28"/>
          <w:szCs w:val="28"/>
          <w:u w:val="single"/>
        </w:rPr>
        <w:t>R</w:t>
      </w:r>
      <w:r w:rsidRPr="007B3B90">
        <w:rPr>
          <w:rFonts w:cs="Arial"/>
          <w:iCs/>
          <w:sz w:val="28"/>
          <w:szCs w:val="28"/>
        </w:rPr>
        <w:t xml:space="preserve">epair (STAR): </w:t>
      </w:r>
      <w:r w:rsidR="00F2201B">
        <w:rPr>
          <w:rFonts w:cs="Arial"/>
          <w:iCs/>
          <w:sz w:val="28"/>
          <w:szCs w:val="28"/>
        </w:rPr>
        <w:t>A</w:t>
      </w:r>
      <w:r w:rsidRPr="007B3B90">
        <w:rPr>
          <w:rFonts w:cs="Arial"/>
          <w:iCs/>
          <w:sz w:val="28"/>
          <w:szCs w:val="28"/>
        </w:rPr>
        <w:t xml:space="preserve"> 23-hour endovascular abdominal aortic aneurysm repair pathway with evaluation of eligibility, uptake, viability, acceptability, safety and cost.</w:t>
      </w:r>
    </w:p>
    <w:p w14:paraId="03D0FA0B" w14:textId="03151FA3" w:rsidR="000927BC" w:rsidRPr="007B3B90" w:rsidRDefault="000927BC" w:rsidP="000927BC">
      <w:pPr>
        <w:jc w:val="both"/>
        <w:rPr>
          <w:rFonts w:cs="Arial"/>
          <w:iCs/>
          <w:szCs w:val="22"/>
        </w:rPr>
      </w:pPr>
    </w:p>
    <w:p w14:paraId="5C6B6710" w14:textId="77777777" w:rsidR="000927BC" w:rsidRPr="007B3B90" w:rsidRDefault="000927BC" w:rsidP="000927BC">
      <w:pPr>
        <w:jc w:val="both"/>
      </w:pPr>
    </w:p>
    <w:p w14:paraId="0A224FF7" w14:textId="77777777" w:rsidR="00663512" w:rsidRPr="007B3B90" w:rsidRDefault="00663512" w:rsidP="00663512"/>
    <w:p w14:paraId="6162640F" w14:textId="77777777" w:rsidR="00663512" w:rsidRPr="007B3B90" w:rsidRDefault="00663512" w:rsidP="00663512"/>
    <w:p w14:paraId="16A58F89" w14:textId="2A2D3AB0" w:rsidR="00663512" w:rsidRPr="007B3B90" w:rsidRDefault="00E01A54" w:rsidP="00663512">
      <w:pPr>
        <w:jc w:val="center"/>
      </w:pPr>
      <w:r w:rsidRPr="007B3B90">
        <w:t>Version 1</w:t>
      </w:r>
      <w:r w:rsidR="00E17D92" w:rsidRPr="007B3B90">
        <w:t>.</w:t>
      </w:r>
      <w:r w:rsidR="003E7ACD">
        <w:t>1</w:t>
      </w:r>
      <w:r w:rsidRPr="007B3B90">
        <w:t xml:space="preserve"> </w:t>
      </w:r>
      <w:r w:rsidR="00995425">
        <w:t>0</w:t>
      </w:r>
      <w:r w:rsidR="003B3D34">
        <w:t>8</w:t>
      </w:r>
      <w:r w:rsidRPr="007B3B90">
        <w:t>/</w:t>
      </w:r>
      <w:r w:rsidR="00995425">
        <w:t>1</w:t>
      </w:r>
      <w:r w:rsidR="003E7ACD">
        <w:t>2</w:t>
      </w:r>
      <w:r w:rsidRPr="007B3B90">
        <w:t>/2021</w:t>
      </w:r>
    </w:p>
    <w:p w14:paraId="68802673" w14:textId="77777777" w:rsidR="00663512" w:rsidRPr="007B3B90" w:rsidRDefault="00663512" w:rsidP="00663512">
      <w:pPr>
        <w:jc w:val="center"/>
      </w:pPr>
    </w:p>
    <w:p w14:paraId="17500603" w14:textId="77777777" w:rsidR="00663512" w:rsidRPr="007B3B90" w:rsidRDefault="00663512" w:rsidP="00663512">
      <w:pPr>
        <w:jc w:val="center"/>
      </w:pPr>
    </w:p>
    <w:p w14:paraId="74035AB5" w14:textId="77777777" w:rsidR="00663512" w:rsidRPr="007B3B90" w:rsidRDefault="00663512" w:rsidP="00663512">
      <w:pPr>
        <w:jc w:val="center"/>
      </w:pPr>
    </w:p>
    <w:p w14:paraId="3FBBC5BE" w14:textId="77777777" w:rsidR="00663512" w:rsidRPr="007B3B90" w:rsidRDefault="00663512" w:rsidP="00663512">
      <w:pPr>
        <w:autoSpaceDE w:val="0"/>
        <w:autoSpaceDN w:val="0"/>
        <w:adjustRightInd w:val="0"/>
        <w:rPr>
          <w:rFonts w:ascii="DPLHPK+Arial" w:hAnsi="DPLHPK+Arial" w:cs="DPLHPK+Arial"/>
          <w:color w:val="000000"/>
        </w:rPr>
      </w:pPr>
    </w:p>
    <w:p w14:paraId="219DEAC2" w14:textId="550AC72E" w:rsidR="00663512" w:rsidRPr="007B3B90" w:rsidRDefault="00663512" w:rsidP="00E01A54">
      <w:pPr>
        <w:rPr>
          <w:rFonts w:ascii="DPLHPK+Arial" w:hAnsi="DPLHPK+Arial" w:cs="DPLHPK+Arial"/>
          <w:color w:val="000000"/>
        </w:rPr>
      </w:pPr>
      <w:r w:rsidRPr="007B3B90">
        <w:rPr>
          <w:rFonts w:ascii="DPLHPK+Arial" w:hAnsi="DPLHPK+Arial" w:cs="DPLHPK+Arial"/>
          <w:color w:val="000000"/>
        </w:rPr>
        <w:t xml:space="preserve">MAIN SPONSOR: </w:t>
      </w:r>
      <w:r w:rsidR="006C319C" w:rsidRPr="007B3B90">
        <w:rPr>
          <w:rFonts w:ascii="DPLHPK+Arial" w:hAnsi="DPLHPK+Arial" w:cs="DPLHPK+Arial"/>
          <w:color w:val="000000"/>
        </w:rPr>
        <w:t xml:space="preserve"> </w:t>
      </w:r>
      <w:r w:rsidRPr="007B3B90">
        <w:rPr>
          <w:rFonts w:ascii="DPLHPK+Arial" w:hAnsi="DPLHPK+Arial" w:cs="DPLHPK+Arial"/>
          <w:color w:val="000000"/>
        </w:rPr>
        <w:t>Imperial College London</w:t>
      </w:r>
    </w:p>
    <w:p w14:paraId="706F66DE" w14:textId="77777777" w:rsidR="000927BC" w:rsidRPr="007B3B90" w:rsidRDefault="000927BC" w:rsidP="00E01A54">
      <w:pPr>
        <w:rPr>
          <w:rFonts w:ascii="DPLHPK+Arial" w:hAnsi="DPLHPK+Arial" w:cs="DPLHPK+Arial"/>
          <w:color w:val="000000"/>
        </w:rPr>
      </w:pPr>
    </w:p>
    <w:p w14:paraId="6A80366C" w14:textId="2A93BBA3" w:rsidR="00E01A54" w:rsidRPr="007B3B90" w:rsidRDefault="00663512" w:rsidP="00E01A54">
      <w:pPr>
        <w:rPr>
          <w:rFonts w:ascii="DPLHPK+Arial" w:hAnsi="DPLHPK+Arial" w:cs="DPLHPK+Arial"/>
          <w:color w:val="000000"/>
        </w:rPr>
      </w:pPr>
      <w:r w:rsidRPr="008F5DFF">
        <w:rPr>
          <w:rFonts w:ascii="DPLHPK+Arial" w:hAnsi="DPLHPK+Arial" w:cs="DPLHPK+Arial"/>
          <w:color w:val="000000"/>
        </w:rPr>
        <w:t>FUNDERS:</w:t>
      </w:r>
      <w:r w:rsidR="00E01A54" w:rsidRPr="008F5DFF">
        <w:rPr>
          <w:rFonts w:ascii="DPLHPK+Arial" w:hAnsi="DPLHPK+Arial" w:cs="DPLHPK+Arial"/>
          <w:color w:val="000000"/>
        </w:rPr>
        <w:t xml:space="preserve"> </w:t>
      </w:r>
      <w:r w:rsidR="006C319C" w:rsidRPr="008F5DFF">
        <w:rPr>
          <w:rFonts w:ascii="DPLHPK+Arial" w:hAnsi="DPLHPK+Arial" w:cs="DPLHPK+Arial"/>
          <w:color w:val="000000"/>
        </w:rPr>
        <w:t xml:space="preserve"> </w:t>
      </w:r>
      <w:r w:rsidR="00E01A54" w:rsidRPr="008F5DFF">
        <w:rPr>
          <w:rFonts w:ascii="DPLHPK+Arial" w:hAnsi="DPLHPK+Arial" w:cs="DPLHPK+Arial"/>
          <w:color w:val="000000"/>
        </w:rPr>
        <w:t>W. L. Gore &amp; Associates (UK) Ltd and Medtronic Limited</w:t>
      </w:r>
    </w:p>
    <w:p w14:paraId="329E3D37" w14:textId="53B4B13E" w:rsidR="00E01A54" w:rsidRPr="007B3B90" w:rsidRDefault="00E01A54" w:rsidP="00E01A54">
      <w:pPr>
        <w:rPr>
          <w:rFonts w:ascii="DPLHPK+Arial" w:hAnsi="DPLHPK+Arial" w:cs="DPLHPK+Arial"/>
          <w:color w:val="000000"/>
        </w:rPr>
      </w:pPr>
    </w:p>
    <w:p w14:paraId="4243DB0F" w14:textId="581C0DC4" w:rsidR="00663512" w:rsidRPr="007B3B90" w:rsidRDefault="00663512" w:rsidP="00663512">
      <w:pPr>
        <w:autoSpaceDE w:val="0"/>
        <w:autoSpaceDN w:val="0"/>
        <w:adjustRightInd w:val="0"/>
        <w:ind w:left="-180" w:right="-2011"/>
        <w:rPr>
          <w:rFonts w:ascii="DPLHPK+Arial" w:hAnsi="DPLHPK+Arial" w:cs="DPLHPK+Arial"/>
          <w:color w:val="000000"/>
        </w:rPr>
      </w:pPr>
    </w:p>
    <w:p w14:paraId="4037AC56" w14:textId="4A4EF4A3" w:rsidR="00663512" w:rsidRPr="007B3B90" w:rsidRDefault="000927BC" w:rsidP="00663512">
      <w:pPr>
        <w:autoSpaceDE w:val="0"/>
        <w:autoSpaceDN w:val="0"/>
        <w:adjustRightInd w:val="0"/>
        <w:ind w:left="-180" w:right="-2011"/>
        <w:rPr>
          <w:rFonts w:ascii="DPLHPK+Arial" w:hAnsi="DPLHPK+Arial" w:cs="DPLHPK+Arial"/>
          <w:color w:val="000000"/>
        </w:rPr>
      </w:pPr>
      <w:r w:rsidRPr="007B3B90">
        <w:rPr>
          <w:rFonts w:ascii="DPLHPK+Arial" w:hAnsi="DPLHPK+Arial" w:cs="DPLHPK+Arial"/>
          <w:color w:val="000000"/>
        </w:rPr>
        <w:t xml:space="preserve">   </w:t>
      </w:r>
      <w:r w:rsidR="00663512" w:rsidRPr="007B3B90">
        <w:rPr>
          <w:rFonts w:ascii="DPLHPK+Arial" w:hAnsi="DPLHPK+Arial" w:cs="DPLHPK+Arial"/>
          <w:color w:val="000000"/>
        </w:rPr>
        <w:t xml:space="preserve">STUDY COORDINATION CENTRE: </w:t>
      </w:r>
      <w:r w:rsidR="006C319C" w:rsidRPr="007B3B90">
        <w:rPr>
          <w:rFonts w:ascii="DPLHPK+Arial" w:hAnsi="DPLHPK+Arial" w:cs="DPLHPK+Arial"/>
          <w:color w:val="000000"/>
        </w:rPr>
        <w:t xml:space="preserve"> </w:t>
      </w:r>
      <w:r w:rsidR="000673AE" w:rsidRPr="007B3B90">
        <w:rPr>
          <w:rFonts w:ascii="DPLHPK+Arial" w:hAnsi="DPLHPK+Arial" w:cs="DPLHPK+Arial"/>
          <w:color w:val="000000"/>
        </w:rPr>
        <w:t>IMPERIAL COLLEGE LONDON</w:t>
      </w:r>
    </w:p>
    <w:p w14:paraId="32DB2992" w14:textId="77777777" w:rsidR="00663512" w:rsidRPr="007B3B90" w:rsidRDefault="00663512" w:rsidP="00663512">
      <w:pPr>
        <w:ind w:left="-180"/>
        <w:rPr>
          <w:rFonts w:ascii="DPLHPK+Arial" w:hAnsi="DPLHPK+Arial" w:cs="DPLHPK+Arial"/>
          <w:color w:val="000000"/>
        </w:rPr>
      </w:pPr>
    </w:p>
    <w:p w14:paraId="454010BD" w14:textId="7AB9C019" w:rsidR="000673AE" w:rsidRPr="007B3B90" w:rsidRDefault="00663512" w:rsidP="000673AE">
      <w:pPr>
        <w:rPr>
          <w:rFonts w:ascii="DPLHPK+Arial" w:hAnsi="DPLHPK+Arial" w:cs="DPLHPK+Arial"/>
          <w:color w:val="000000"/>
        </w:rPr>
      </w:pPr>
      <w:r w:rsidRPr="007B3B90">
        <w:rPr>
          <w:rFonts w:ascii="DPLHPK+Arial" w:hAnsi="DPLHPK+Arial" w:cs="DPLHPK+Arial"/>
          <w:color w:val="000000"/>
        </w:rPr>
        <w:t>IRAS Project ID</w:t>
      </w:r>
      <w:r w:rsidR="000673AE" w:rsidRPr="007B3B90">
        <w:rPr>
          <w:rFonts w:ascii="DPLHPK+Arial" w:hAnsi="DPLHPK+Arial" w:cs="DPLHPK+Arial"/>
          <w:color w:val="000000"/>
        </w:rPr>
        <w:t xml:space="preserve">: 302827  </w:t>
      </w:r>
    </w:p>
    <w:p w14:paraId="71D43FFE" w14:textId="50C34D96" w:rsidR="00663512" w:rsidRPr="007B3B90" w:rsidRDefault="00663512" w:rsidP="000673AE">
      <w:pPr>
        <w:rPr>
          <w:rFonts w:ascii="DPLHPK+Arial" w:hAnsi="DPLHPK+Arial" w:cs="DPLHPK+Arial"/>
          <w:color w:val="000000"/>
        </w:rPr>
      </w:pPr>
      <w:r w:rsidRPr="007B3B90">
        <w:rPr>
          <w:rFonts w:ascii="DPLHPK+Arial" w:hAnsi="DPLHPK+Arial" w:cs="DPLHPK+Arial"/>
          <w:color w:val="000000"/>
        </w:rPr>
        <w:t>REC reference:</w:t>
      </w:r>
      <w:r w:rsidR="00470E86">
        <w:rPr>
          <w:rFonts w:ascii="DPLHPK+Arial" w:hAnsi="DPLHPK+Arial" w:cs="DPLHPK+Arial"/>
          <w:color w:val="000000"/>
        </w:rPr>
        <w:t xml:space="preserve"> </w:t>
      </w:r>
      <w:r w:rsidR="00AB6D1E">
        <w:rPr>
          <w:rFonts w:ascii="DPLHPK+Arial" w:hAnsi="DPLHPK+Arial" w:cs="DPLHPK+Arial"/>
          <w:color w:val="000000"/>
        </w:rPr>
        <w:t>21/PR/1579</w:t>
      </w:r>
    </w:p>
    <w:p w14:paraId="0144B597" w14:textId="157F6F89" w:rsidR="00DD4907" w:rsidRPr="007B3B90" w:rsidRDefault="00DD4907" w:rsidP="000673AE">
      <w:pPr>
        <w:rPr>
          <w:rFonts w:ascii="DPLHPK+Arial" w:hAnsi="DPLHPK+Arial" w:cs="DPLHPK+Arial"/>
          <w:color w:val="000000"/>
        </w:rPr>
      </w:pPr>
      <w:r w:rsidRPr="007B3B90">
        <w:rPr>
          <w:rFonts w:ascii="DPLHPK+Arial" w:hAnsi="DPLHPK+Arial" w:cs="DPLHPK+Arial"/>
          <w:color w:val="000000"/>
        </w:rPr>
        <w:t>ClinicalTrials.gov Identifier: &lt;NCT # tbc&gt; www.clinicaltrials.gov</w:t>
      </w:r>
    </w:p>
    <w:p w14:paraId="2471D40D" w14:textId="77777777" w:rsidR="000927BC" w:rsidRPr="007B3B90" w:rsidRDefault="000927BC" w:rsidP="00663512">
      <w:pPr>
        <w:ind w:left="-180"/>
      </w:pPr>
    </w:p>
    <w:p w14:paraId="76A7E709" w14:textId="77777777" w:rsidR="00663512" w:rsidRPr="007B3B90" w:rsidRDefault="00663512" w:rsidP="00663512">
      <w:pPr>
        <w:jc w:val="center"/>
      </w:pPr>
    </w:p>
    <w:p w14:paraId="2257368A" w14:textId="77777777" w:rsidR="00663512" w:rsidRPr="007B3B90" w:rsidRDefault="00663512" w:rsidP="00663512">
      <w:pPr>
        <w:jc w:val="center"/>
      </w:pPr>
    </w:p>
    <w:p w14:paraId="06D3FFC3" w14:textId="77777777" w:rsidR="00663512" w:rsidRPr="007B3B90" w:rsidRDefault="00663512" w:rsidP="00663512">
      <w:pPr>
        <w:jc w:val="center"/>
      </w:pPr>
    </w:p>
    <w:p w14:paraId="0E079517" w14:textId="77777777" w:rsidR="00663512" w:rsidRPr="007B3B90" w:rsidRDefault="00663512" w:rsidP="00663512">
      <w:pPr>
        <w:rPr>
          <w:b/>
        </w:rPr>
      </w:pPr>
      <w:r w:rsidRPr="007B3B90">
        <w:rPr>
          <w:b/>
        </w:rPr>
        <w:t>Protocol authorised by:</w:t>
      </w:r>
    </w:p>
    <w:p w14:paraId="53EF3E23" w14:textId="77777777" w:rsidR="00663512" w:rsidRPr="007B3B90" w:rsidRDefault="00663512" w:rsidP="00663512"/>
    <w:tbl>
      <w:tblPr>
        <w:tblW w:w="9639" w:type="dxa"/>
        <w:tblLook w:val="01E0" w:firstRow="1" w:lastRow="1" w:firstColumn="1" w:lastColumn="1" w:noHBand="0" w:noVBand="0"/>
      </w:tblPr>
      <w:tblGrid>
        <w:gridCol w:w="5245"/>
        <w:gridCol w:w="1701"/>
        <w:gridCol w:w="2693"/>
      </w:tblGrid>
      <w:tr w:rsidR="00663512" w:rsidRPr="007B3B90" w14:paraId="286B3ECA" w14:textId="77777777" w:rsidTr="007F5F75">
        <w:tc>
          <w:tcPr>
            <w:tcW w:w="5245" w:type="dxa"/>
          </w:tcPr>
          <w:p w14:paraId="1C2FBA0E" w14:textId="77777777" w:rsidR="00663512" w:rsidRPr="007B3B90" w:rsidRDefault="00663512" w:rsidP="0006096E">
            <w:pPr>
              <w:autoSpaceDE w:val="0"/>
              <w:autoSpaceDN w:val="0"/>
              <w:adjustRightInd w:val="0"/>
              <w:spacing w:before="40" w:after="40"/>
              <w:rPr>
                <w:rFonts w:ascii="DPLHPK+Arial" w:hAnsi="DPLHPK+Arial" w:cs="DPLHPK+Arial"/>
                <w:b/>
                <w:color w:val="000000"/>
              </w:rPr>
            </w:pPr>
            <w:r w:rsidRPr="007B3B90">
              <w:rPr>
                <w:rFonts w:ascii="DPLHPK+Arial" w:hAnsi="DPLHPK+Arial" w:cs="DPLHPK+Arial"/>
                <w:b/>
                <w:color w:val="000000"/>
              </w:rPr>
              <w:t>Name &amp; Role</w:t>
            </w:r>
          </w:p>
        </w:tc>
        <w:tc>
          <w:tcPr>
            <w:tcW w:w="1701" w:type="dxa"/>
          </w:tcPr>
          <w:p w14:paraId="6E016FCB" w14:textId="77777777" w:rsidR="00663512" w:rsidRPr="007B3B90" w:rsidRDefault="00663512" w:rsidP="00B6108A">
            <w:pPr>
              <w:spacing w:before="40" w:after="40"/>
              <w:jc w:val="center"/>
              <w:rPr>
                <w:b/>
              </w:rPr>
            </w:pPr>
            <w:r w:rsidRPr="007B3B90">
              <w:rPr>
                <w:b/>
              </w:rPr>
              <w:t>Date</w:t>
            </w:r>
          </w:p>
        </w:tc>
        <w:tc>
          <w:tcPr>
            <w:tcW w:w="2693" w:type="dxa"/>
          </w:tcPr>
          <w:p w14:paraId="482AAE3D" w14:textId="77777777" w:rsidR="00663512" w:rsidRPr="007B3B90" w:rsidRDefault="00663512" w:rsidP="00B6108A">
            <w:pPr>
              <w:spacing w:before="40" w:after="40"/>
              <w:jc w:val="center"/>
              <w:rPr>
                <w:b/>
              </w:rPr>
            </w:pPr>
            <w:r w:rsidRPr="007B3B90">
              <w:rPr>
                <w:b/>
              </w:rPr>
              <w:t>Signature</w:t>
            </w:r>
          </w:p>
        </w:tc>
      </w:tr>
      <w:tr w:rsidR="00663512" w:rsidRPr="007B3B90" w14:paraId="7C3EE7D4" w14:textId="77777777" w:rsidTr="007F5F75">
        <w:tc>
          <w:tcPr>
            <w:tcW w:w="5245" w:type="dxa"/>
          </w:tcPr>
          <w:p w14:paraId="3554A30D" w14:textId="77777777" w:rsidR="00663512" w:rsidRPr="007B3B90" w:rsidRDefault="00663512" w:rsidP="00B6108A">
            <w:pPr>
              <w:spacing w:before="40" w:after="40"/>
            </w:pPr>
          </w:p>
        </w:tc>
        <w:tc>
          <w:tcPr>
            <w:tcW w:w="1701" w:type="dxa"/>
          </w:tcPr>
          <w:p w14:paraId="0AFFF122" w14:textId="77777777" w:rsidR="00663512" w:rsidRPr="007B3B90" w:rsidRDefault="00663512" w:rsidP="00B6108A">
            <w:pPr>
              <w:spacing w:before="40" w:after="40"/>
            </w:pPr>
          </w:p>
        </w:tc>
        <w:tc>
          <w:tcPr>
            <w:tcW w:w="2693" w:type="dxa"/>
          </w:tcPr>
          <w:p w14:paraId="17D25CCD" w14:textId="77777777" w:rsidR="00663512" w:rsidRPr="007B3B90" w:rsidRDefault="00663512" w:rsidP="00B6108A">
            <w:pPr>
              <w:spacing w:before="40" w:after="40"/>
            </w:pPr>
          </w:p>
        </w:tc>
      </w:tr>
      <w:tr w:rsidR="00663512" w:rsidRPr="007B3B90" w14:paraId="72248F3D" w14:textId="77777777" w:rsidTr="007F5F75">
        <w:tc>
          <w:tcPr>
            <w:tcW w:w="5245" w:type="dxa"/>
          </w:tcPr>
          <w:p w14:paraId="1450BB89" w14:textId="77777777" w:rsidR="00663512" w:rsidRPr="007B3B90" w:rsidRDefault="00663512" w:rsidP="00B6108A">
            <w:pPr>
              <w:spacing w:before="40" w:after="40"/>
            </w:pPr>
          </w:p>
        </w:tc>
        <w:tc>
          <w:tcPr>
            <w:tcW w:w="1701" w:type="dxa"/>
          </w:tcPr>
          <w:p w14:paraId="783732A2" w14:textId="77777777" w:rsidR="00663512" w:rsidRPr="007B3B90" w:rsidRDefault="00663512" w:rsidP="00B6108A">
            <w:pPr>
              <w:spacing w:before="40" w:after="40"/>
            </w:pPr>
          </w:p>
        </w:tc>
        <w:tc>
          <w:tcPr>
            <w:tcW w:w="2693" w:type="dxa"/>
          </w:tcPr>
          <w:p w14:paraId="789E7612" w14:textId="77777777" w:rsidR="00663512" w:rsidRPr="007B3B90" w:rsidRDefault="00663512" w:rsidP="00B6108A">
            <w:pPr>
              <w:spacing w:before="40" w:after="40"/>
            </w:pPr>
          </w:p>
        </w:tc>
      </w:tr>
      <w:tr w:rsidR="00663512" w:rsidRPr="007B3B90" w14:paraId="3A2FB266" w14:textId="77777777" w:rsidTr="007F5F75">
        <w:tc>
          <w:tcPr>
            <w:tcW w:w="5245" w:type="dxa"/>
          </w:tcPr>
          <w:p w14:paraId="7F981D5A" w14:textId="77777777" w:rsidR="00663512" w:rsidRPr="007B3B90" w:rsidRDefault="00663512" w:rsidP="00B6108A">
            <w:pPr>
              <w:spacing w:before="40" w:after="40"/>
            </w:pPr>
          </w:p>
        </w:tc>
        <w:tc>
          <w:tcPr>
            <w:tcW w:w="1701" w:type="dxa"/>
          </w:tcPr>
          <w:p w14:paraId="09AB1231" w14:textId="77777777" w:rsidR="00663512" w:rsidRPr="007B3B90" w:rsidRDefault="00663512" w:rsidP="00B6108A">
            <w:pPr>
              <w:spacing w:before="40" w:after="40"/>
            </w:pPr>
          </w:p>
        </w:tc>
        <w:tc>
          <w:tcPr>
            <w:tcW w:w="2693" w:type="dxa"/>
          </w:tcPr>
          <w:p w14:paraId="02E58519" w14:textId="77777777" w:rsidR="00663512" w:rsidRPr="007B3B90" w:rsidRDefault="00663512" w:rsidP="00B6108A">
            <w:pPr>
              <w:spacing w:before="40" w:after="40"/>
            </w:pPr>
          </w:p>
        </w:tc>
      </w:tr>
      <w:tr w:rsidR="00663512" w:rsidRPr="007B3B90" w14:paraId="4AF1D461" w14:textId="77777777" w:rsidTr="007F5F75">
        <w:tc>
          <w:tcPr>
            <w:tcW w:w="5245" w:type="dxa"/>
          </w:tcPr>
          <w:p w14:paraId="54B93EF3" w14:textId="77777777" w:rsidR="0006096E" w:rsidRPr="007B3B90" w:rsidRDefault="0006096E" w:rsidP="0006096E">
            <w:pPr>
              <w:spacing w:before="40" w:after="40"/>
              <w:rPr>
                <w:sz w:val="22"/>
                <w:szCs w:val="22"/>
              </w:rPr>
            </w:pPr>
            <w:r w:rsidRPr="007B3B90">
              <w:rPr>
                <w:sz w:val="22"/>
                <w:szCs w:val="22"/>
              </w:rPr>
              <w:t>Mr Colin Bicknell, B.M., M.D., F.R.C.S.</w:t>
            </w:r>
          </w:p>
          <w:p w14:paraId="61B0DD25" w14:textId="66829AB3" w:rsidR="0006096E" w:rsidRPr="007B3B90" w:rsidRDefault="0006096E" w:rsidP="0006096E">
            <w:pPr>
              <w:spacing w:before="40" w:after="40"/>
              <w:rPr>
                <w:sz w:val="22"/>
                <w:szCs w:val="22"/>
              </w:rPr>
            </w:pPr>
            <w:r w:rsidRPr="007B3B90">
              <w:rPr>
                <w:sz w:val="22"/>
                <w:szCs w:val="22"/>
              </w:rPr>
              <w:t>Clinical Reader and Consultant Vascular Surgeon</w:t>
            </w:r>
          </w:p>
          <w:p w14:paraId="52DBD43D" w14:textId="5920D1B8" w:rsidR="00663512" w:rsidRPr="007B3B90" w:rsidRDefault="0006096E" w:rsidP="0006096E">
            <w:pPr>
              <w:spacing w:before="40" w:after="40"/>
            </w:pPr>
            <w:r w:rsidRPr="007B3B90">
              <w:rPr>
                <w:sz w:val="22"/>
                <w:szCs w:val="22"/>
              </w:rPr>
              <w:t>Chief Investigator</w:t>
            </w:r>
          </w:p>
        </w:tc>
        <w:tc>
          <w:tcPr>
            <w:tcW w:w="1701" w:type="dxa"/>
          </w:tcPr>
          <w:p w14:paraId="566A0931" w14:textId="55939E1E" w:rsidR="00663512" w:rsidRPr="007B3B90" w:rsidRDefault="00213A21" w:rsidP="00B6108A">
            <w:pPr>
              <w:spacing w:before="40" w:after="40"/>
            </w:pPr>
            <w:r>
              <w:t>08/12/2021</w:t>
            </w:r>
          </w:p>
        </w:tc>
        <w:tc>
          <w:tcPr>
            <w:tcW w:w="2693" w:type="dxa"/>
          </w:tcPr>
          <w:p w14:paraId="3CEF7F42" w14:textId="77777777" w:rsidR="00663512" w:rsidRPr="007B3B90" w:rsidRDefault="00663512" w:rsidP="00B6108A">
            <w:pPr>
              <w:spacing w:before="40" w:after="40"/>
            </w:pPr>
          </w:p>
        </w:tc>
      </w:tr>
    </w:tbl>
    <w:p w14:paraId="730344B5" w14:textId="77777777" w:rsidR="001260E8" w:rsidRPr="007B3B90" w:rsidRDefault="001260E8" w:rsidP="00663512">
      <w:pPr>
        <w:rPr>
          <w:b/>
          <w:sz w:val="28"/>
          <w:szCs w:val="28"/>
        </w:rPr>
      </w:pPr>
    </w:p>
    <w:p w14:paraId="5E5D042F" w14:textId="77777777" w:rsidR="001260E8" w:rsidRPr="007B3B90" w:rsidRDefault="001260E8">
      <w:pPr>
        <w:rPr>
          <w:b/>
          <w:sz w:val="28"/>
          <w:szCs w:val="28"/>
        </w:rPr>
      </w:pPr>
      <w:r w:rsidRPr="007B3B90">
        <w:rPr>
          <w:b/>
          <w:sz w:val="28"/>
          <w:szCs w:val="28"/>
        </w:rPr>
        <w:br w:type="page"/>
      </w:r>
    </w:p>
    <w:p w14:paraId="0F113AB9" w14:textId="5F6FC81E" w:rsidR="00663512" w:rsidRPr="007B3B90" w:rsidRDefault="00663512" w:rsidP="00663512">
      <w:pPr>
        <w:rPr>
          <w:b/>
          <w:sz w:val="28"/>
          <w:szCs w:val="28"/>
        </w:rPr>
      </w:pPr>
      <w:r w:rsidRPr="007B3B90">
        <w:rPr>
          <w:b/>
          <w:sz w:val="28"/>
          <w:szCs w:val="28"/>
        </w:rPr>
        <w:lastRenderedPageBreak/>
        <w:t>Study Management Group</w:t>
      </w:r>
    </w:p>
    <w:p w14:paraId="23068F2B" w14:textId="77777777" w:rsidR="00663512" w:rsidRPr="007B3B90" w:rsidRDefault="00663512" w:rsidP="00663512">
      <w:pPr>
        <w:rPr>
          <w:sz w:val="20"/>
          <w:szCs w:val="20"/>
        </w:rPr>
      </w:pPr>
    </w:p>
    <w:p w14:paraId="49EE827E" w14:textId="3CAFDA8D" w:rsidR="00943D5B" w:rsidRPr="007B3B90" w:rsidRDefault="00943D5B" w:rsidP="00943D5B">
      <w:pPr>
        <w:jc w:val="both"/>
        <w:rPr>
          <w:rFonts w:cs="Arial"/>
        </w:rPr>
      </w:pPr>
      <w:r w:rsidRPr="007B3B90">
        <w:rPr>
          <w:rFonts w:cs="Arial"/>
        </w:rPr>
        <w:t xml:space="preserve">Chief Investigator: </w:t>
      </w:r>
      <w:r w:rsidR="00DD4907" w:rsidRPr="007B3B90">
        <w:rPr>
          <w:rFonts w:cs="Arial"/>
        </w:rPr>
        <w:t xml:space="preserve">Mr </w:t>
      </w:r>
      <w:r w:rsidRPr="007B3B90">
        <w:rPr>
          <w:rFonts w:cs="Arial"/>
        </w:rPr>
        <w:t>Colin Bicknell</w:t>
      </w:r>
    </w:p>
    <w:p w14:paraId="5E10E5CD" w14:textId="77777777" w:rsidR="00943D5B" w:rsidRPr="007B3B90" w:rsidRDefault="00943D5B" w:rsidP="00943D5B">
      <w:pPr>
        <w:jc w:val="both"/>
        <w:rPr>
          <w:rFonts w:cs="Arial"/>
        </w:rPr>
      </w:pPr>
    </w:p>
    <w:p w14:paraId="494CD4FF" w14:textId="54B80698" w:rsidR="00943D5B" w:rsidRPr="007B3B90" w:rsidRDefault="00943D5B" w:rsidP="00943D5B">
      <w:pPr>
        <w:jc w:val="both"/>
        <w:rPr>
          <w:rFonts w:cs="Arial"/>
        </w:rPr>
      </w:pPr>
      <w:r w:rsidRPr="007B3B90">
        <w:rPr>
          <w:rFonts w:cs="Arial"/>
        </w:rPr>
        <w:t xml:space="preserve">Co-investigators: </w:t>
      </w:r>
      <w:r w:rsidR="007A38EA" w:rsidRPr="007B3B90">
        <w:rPr>
          <w:rFonts w:cs="Times CE"/>
          <w:bCs/>
        </w:rPr>
        <w:t xml:space="preserve">Miss Maria Nicola, </w:t>
      </w:r>
      <w:r w:rsidR="00DD4907" w:rsidRPr="007B3B90">
        <w:rPr>
          <w:rFonts w:cs="Arial"/>
        </w:rPr>
        <w:t xml:space="preserve">Prof </w:t>
      </w:r>
      <w:r w:rsidRPr="007B3B90">
        <w:rPr>
          <w:rFonts w:cs="Arial"/>
        </w:rPr>
        <w:t xml:space="preserve">Janet Powell, </w:t>
      </w:r>
      <w:r w:rsidR="00DD4907" w:rsidRPr="007B3B90">
        <w:rPr>
          <w:rFonts w:cs="Arial"/>
        </w:rPr>
        <w:t xml:space="preserve">Dr </w:t>
      </w:r>
      <w:r w:rsidRPr="007B3B90">
        <w:rPr>
          <w:rFonts w:cs="Arial"/>
        </w:rPr>
        <w:t>Manuel Gomes</w:t>
      </w:r>
      <w:r w:rsidR="00E17D92" w:rsidRPr="007B3B90">
        <w:rPr>
          <w:rFonts w:cs="Arial"/>
        </w:rPr>
        <w:t xml:space="preserve">, </w:t>
      </w:r>
      <w:r w:rsidR="00DD4907" w:rsidRPr="007B3B90">
        <w:rPr>
          <w:rFonts w:cs="Arial"/>
        </w:rPr>
        <w:t xml:space="preserve">Dr </w:t>
      </w:r>
      <w:r w:rsidR="00E17D92" w:rsidRPr="007B3B90">
        <w:rPr>
          <w:rFonts w:cs="Arial"/>
        </w:rPr>
        <w:t xml:space="preserve">Pinar </w:t>
      </w:r>
      <w:proofErr w:type="spellStart"/>
      <w:r w:rsidR="00E17D92" w:rsidRPr="007B3B90">
        <w:rPr>
          <w:rFonts w:cs="Arial"/>
        </w:rPr>
        <w:t>Ulug</w:t>
      </w:r>
      <w:proofErr w:type="spellEnd"/>
      <w:r w:rsidR="00E17D92" w:rsidRPr="007B3B90">
        <w:rPr>
          <w:rFonts w:cs="Arial"/>
        </w:rPr>
        <w:t xml:space="preserve">, </w:t>
      </w:r>
      <w:r w:rsidR="00E17D92" w:rsidRPr="007B3B90">
        <w:rPr>
          <w:rFonts w:cs="Times CE"/>
          <w:bCs/>
        </w:rPr>
        <w:t xml:space="preserve">Dr </w:t>
      </w:r>
      <w:proofErr w:type="spellStart"/>
      <w:r w:rsidR="00E17D92" w:rsidRPr="007B3B90">
        <w:rPr>
          <w:rFonts w:cs="Times CE"/>
          <w:bCs/>
        </w:rPr>
        <w:t>Jugdeep</w:t>
      </w:r>
      <w:proofErr w:type="spellEnd"/>
      <w:r w:rsidR="00E17D92" w:rsidRPr="007B3B90">
        <w:rPr>
          <w:rFonts w:cs="Times CE"/>
          <w:bCs/>
        </w:rPr>
        <w:t xml:space="preserve"> </w:t>
      </w:r>
      <w:proofErr w:type="spellStart"/>
      <w:r w:rsidR="00E17D92" w:rsidRPr="007B3B90">
        <w:rPr>
          <w:rFonts w:cs="Times CE"/>
          <w:bCs/>
        </w:rPr>
        <w:t>Dhesi</w:t>
      </w:r>
      <w:proofErr w:type="spellEnd"/>
    </w:p>
    <w:p w14:paraId="23940737" w14:textId="77777777" w:rsidR="00943D5B" w:rsidRPr="007B3B90" w:rsidRDefault="00943D5B" w:rsidP="00943D5B">
      <w:pPr>
        <w:jc w:val="both"/>
        <w:rPr>
          <w:rFonts w:cs="Arial"/>
        </w:rPr>
      </w:pPr>
    </w:p>
    <w:p w14:paraId="00E594E3" w14:textId="0199C360" w:rsidR="00943D5B" w:rsidRPr="007B3B90" w:rsidRDefault="00943D5B" w:rsidP="00943D5B">
      <w:pPr>
        <w:jc w:val="both"/>
        <w:rPr>
          <w:rFonts w:cs="Arial"/>
        </w:rPr>
      </w:pPr>
      <w:r w:rsidRPr="007B3B90">
        <w:rPr>
          <w:rFonts w:cs="Arial"/>
        </w:rPr>
        <w:t>Clinical Leads</w:t>
      </w:r>
      <w:r w:rsidR="00E17D92" w:rsidRPr="007B3B90">
        <w:rPr>
          <w:rFonts w:cs="Arial"/>
        </w:rPr>
        <w:t xml:space="preserve"> and co-investigators</w:t>
      </w:r>
      <w:r w:rsidRPr="007B3B90">
        <w:rPr>
          <w:rFonts w:cs="Arial"/>
        </w:rPr>
        <w:t xml:space="preserve">: </w:t>
      </w:r>
      <w:r w:rsidR="00DD4907" w:rsidRPr="007B3B90">
        <w:rPr>
          <w:rFonts w:cs="Arial"/>
        </w:rPr>
        <w:t xml:space="preserve">Miss </w:t>
      </w:r>
      <w:r w:rsidRPr="007B3B90">
        <w:rPr>
          <w:rFonts w:cs="Arial"/>
        </w:rPr>
        <w:t xml:space="preserve">Rachel Bell, </w:t>
      </w:r>
      <w:r w:rsidR="00DD4907" w:rsidRPr="007B3B90">
        <w:rPr>
          <w:rFonts w:cs="Arial"/>
        </w:rPr>
        <w:t xml:space="preserve">Mr </w:t>
      </w:r>
      <w:r w:rsidRPr="007B3B90">
        <w:rPr>
          <w:rFonts w:cs="Arial"/>
        </w:rPr>
        <w:t xml:space="preserve">Patrick Chong, </w:t>
      </w:r>
      <w:r w:rsidR="00DD4907" w:rsidRPr="007B3B90">
        <w:rPr>
          <w:rFonts w:cs="Arial"/>
        </w:rPr>
        <w:t xml:space="preserve">Prof </w:t>
      </w:r>
      <w:r w:rsidRPr="007B3B90">
        <w:rPr>
          <w:rFonts w:cs="Arial"/>
        </w:rPr>
        <w:t xml:space="preserve">Robert Hinchliffe, </w:t>
      </w:r>
      <w:r w:rsidR="00DD4907" w:rsidRPr="007B3B90">
        <w:rPr>
          <w:rFonts w:cs="Arial"/>
        </w:rPr>
        <w:t xml:space="preserve">Mr </w:t>
      </w:r>
      <w:r w:rsidRPr="007B3B90">
        <w:rPr>
          <w:rFonts w:cs="Arial"/>
        </w:rPr>
        <w:t>Robert Brightwell</w:t>
      </w:r>
      <w:r w:rsidR="00E17D92" w:rsidRPr="007B3B90">
        <w:rPr>
          <w:rFonts w:cs="Arial"/>
        </w:rPr>
        <w:t xml:space="preserve">, </w:t>
      </w:r>
      <w:r w:rsidR="00E17D92" w:rsidRPr="007B3B90">
        <w:rPr>
          <w:rFonts w:cs="Times CE"/>
          <w:bCs/>
        </w:rPr>
        <w:t>Mr Guy Martin</w:t>
      </w:r>
      <w:r w:rsidR="008F5B6A" w:rsidRPr="007B3B90">
        <w:rPr>
          <w:rFonts w:cs="Times CE"/>
          <w:bCs/>
        </w:rPr>
        <w:t xml:space="preserve">. </w:t>
      </w:r>
    </w:p>
    <w:p w14:paraId="57921F02" w14:textId="1BBC878A" w:rsidR="00E17D92" w:rsidRPr="007B3B90" w:rsidRDefault="00E17D92" w:rsidP="00943D5B">
      <w:pPr>
        <w:jc w:val="both"/>
        <w:rPr>
          <w:rFonts w:cs="Arial"/>
        </w:rPr>
      </w:pPr>
    </w:p>
    <w:p w14:paraId="2AA87D9E" w14:textId="3ABBA054" w:rsidR="00E17D92" w:rsidRPr="007B3B90" w:rsidRDefault="00E17D92" w:rsidP="00943D5B">
      <w:pPr>
        <w:jc w:val="both"/>
        <w:rPr>
          <w:rFonts w:cs="Arial"/>
        </w:rPr>
      </w:pPr>
      <w:r w:rsidRPr="007B3B90">
        <w:rPr>
          <w:rFonts w:cs="Arial"/>
        </w:rPr>
        <w:t xml:space="preserve">Collaborators: </w:t>
      </w:r>
      <w:r w:rsidRPr="007B3B90">
        <w:rPr>
          <w:rFonts w:cs="Times"/>
          <w:bCs/>
        </w:rPr>
        <w:t xml:space="preserve">Ms Louise Allen, Dr William Harrop-Griffiths, Prof Mo Hamady, </w:t>
      </w:r>
      <w:r w:rsidRPr="007B3B90">
        <w:rPr>
          <w:rFonts w:cs="Times CE"/>
          <w:bCs/>
        </w:rPr>
        <w:t>Mr Richard Gibbs, Mr Krishna Moorthy, Prof Ara Darzi.</w:t>
      </w:r>
    </w:p>
    <w:p w14:paraId="67813F7C" w14:textId="77777777" w:rsidR="00943D5B" w:rsidRPr="007B3B90" w:rsidRDefault="00943D5B" w:rsidP="00943D5B">
      <w:pPr>
        <w:jc w:val="both"/>
        <w:rPr>
          <w:rFonts w:cs="Arial"/>
        </w:rPr>
      </w:pPr>
    </w:p>
    <w:p w14:paraId="646D64AA" w14:textId="775AABEE" w:rsidR="00943D5B" w:rsidRDefault="00943D5B" w:rsidP="00943D5B">
      <w:pPr>
        <w:jc w:val="both"/>
        <w:rPr>
          <w:rFonts w:cs="Arial"/>
        </w:rPr>
      </w:pPr>
      <w:r w:rsidRPr="007B3B90">
        <w:rPr>
          <w:rFonts w:cs="Arial"/>
        </w:rPr>
        <w:t xml:space="preserve">Study Management: There will be a dedicated and experienced </w:t>
      </w:r>
      <w:r w:rsidR="007F5F75" w:rsidRPr="007B3B90">
        <w:rPr>
          <w:rFonts w:cs="Arial"/>
        </w:rPr>
        <w:t xml:space="preserve">project </w:t>
      </w:r>
      <w:r w:rsidRPr="007B3B90">
        <w:rPr>
          <w:rFonts w:cs="Arial"/>
        </w:rPr>
        <w:t xml:space="preserve">manager, Pinar </w:t>
      </w:r>
      <w:proofErr w:type="spellStart"/>
      <w:r w:rsidRPr="007B3B90">
        <w:rPr>
          <w:rFonts w:cs="Arial"/>
        </w:rPr>
        <w:t>Ulug</w:t>
      </w:r>
      <w:proofErr w:type="spellEnd"/>
      <w:r w:rsidRPr="007B3B90">
        <w:rPr>
          <w:rFonts w:cs="Arial"/>
        </w:rPr>
        <w:t xml:space="preserve">. A Trial </w:t>
      </w:r>
      <w:r w:rsidR="0059670F" w:rsidRPr="007B3B90">
        <w:rPr>
          <w:rFonts w:cs="Arial"/>
        </w:rPr>
        <w:t xml:space="preserve">Management </w:t>
      </w:r>
      <w:r w:rsidRPr="007B3B90">
        <w:rPr>
          <w:rFonts w:cs="Arial"/>
        </w:rPr>
        <w:t>Committee (</w:t>
      </w:r>
      <w:r w:rsidR="0059670F" w:rsidRPr="007B3B90">
        <w:rPr>
          <w:rFonts w:cs="Arial"/>
        </w:rPr>
        <w:t>TMC</w:t>
      </w:r>
      <w:r w:rsidRPr="007B3B90">
        <w:rPr>
          <w:rFonts w:cs="Arial"/>
        </w:rPr>
        <w:t xml:space="preserve">) will consist of </w:t>
      </w:r>
      <w:r w:rsidR="00DD4907" w:rsidRPr="007B3B90">
        <w:rPr>
          <w:rFonts w:cs="Arial"/>
        </w:rPr>
        <w:t xml:space="preserve">CI </w:t>
      </w:r>
      <w:r w:rsidRPr="007B3B90">
        <w:rPr>
          <w:rFonts w:cs="Arial"/>
        </w:rPr>
        <w:t>and Co-Investigators, clinical leads from each site, research nurse representative, patient representative and study manager.</w:t>
      </w:r>
    </w:p>
    <w:p w14:paraId="6C82C338" w14:textId="6F881BA0" w:rsidR="0087049B" w:rsidRDefault="0087049B" w:rsidP="00943D5B">
      <w:pPr>
        <w:jc w:val="both"/>
        <w:rPr>
          <w:rFonts w:cs="Arial"/>
        </w:rPr>
      </w:pPr>
    </w:p>
    <w:p w14:paraId="1BB09402" w14:textId="00E98255" w:rsidR="00663512" w:rsidRPr="007B3B90" w:rsidRDefault="0087049B" w:rsidP="00E874C5">
      <w:pPr>
        <w:jc w:val="both"/>
        <w:rPr>
          <w:b/>
          <w:sz w:val="28"/>
        </w:rPr>
      </w:pPr>
      <w:r>
        <w:rPr>
          <w:rFonts w:cs="Arial"/>
        </w:rPr>
        <w:t>Statistical Analysis/Statisticians: Miss Anna Pouncey, Dr Manuel Gomes, Prof Janet Powell.</w:t>
      </w:r>
    </w:p>
    <w:p w14:paraId="602AD0B7" w14:textId="77777777" w:rsidR="00663512" w:rsidRPr="007B3B90" w:rsidRDefault="00663512" w:rsidP="00663512">
      <w:pPr>
        <w:jc w:val="center"/>
        <w:rPr>
          <w:b/>
          <w:sz w:val="28"/>
        </w:rPr>
      </w:pPr>
    </w:p>
    <w:p w14:paraId="6595DAF7" w14:textId="47B5F635" w:rsidR="00663512" w:rsidRPr="007B3B90" w:rsidRDefault="00663512" w:rsidP="00663512">
      <w:pPr>
        <w:rPr>
          <w:b/>
          <w:sz w:val="28"/>
        </w:rPr>
      </w:pPr>
      <w:r w:rsidRPr="007B3B90">
        <w:rPr>
          <w:b/>
          <w:sz w:val="28"/>
        </w:rPr>
        <w:t xml:space="preserve">Study Coordination Centre </w:t>
      </w:r>
    </w:p>
    <w:p w14:paraId="40FE1171" w14:textId="77777777" w:rsidR="00663512" w:rsidRPr="007B3B90" w:rsidRDefault="00663512" w:rsidP="00663512">
      <w:pPr>
        <w:jc w:val="center"/>
        <w:rPr>
          <w:color w:val="000000"/>
        </w:rPr>
      </w:pPr>
    </w:p>
    <w:p w14:paraId="7BD70E4C" w14:textId="77777777" w:rsidR="000D66CA" w:rsidRPr="007B3B90" w:rsidRDefault="00663512" w:rsidP="00974CAF">
      <w:pPr>
        <w:jc w:val="both"/>
        <w:rPr>
          <w:color w:val="000000"/>
        </w:rPr>
      </w:pPr>
      <w:r w:rsidRPr="007B3B90">
        <w:rPr>
          <w:color w:val="000000"/>
        </w:rPr>
        <w:t>For general queries, supply of study documentation, and data</w:t>
      </w:r>
      <w:r w:rsidR="0059670F" w:rsidRPr="007B3B90">
        <w:rPr>
          <w:color w:val="000000"/>
        </w:rPr>
        <w:t xml:space="preserve"> management</w:t>
      </w:r>
      <w:r w:rsidRPr="007B3B90">
        <w:rPr>
          <w:color w:val="000000"/>
        </w:rPr>
        <w:t>, please contact:</w:t>
      </w:r>
      <w:r w:rsidR="0059670F" w:rsidRPr="007B3B90">
        <w:rPr>
          <w:color w:val="000000"/>
        </w:rPr>
        <w:t xml:space="preserve"> </w:t>
      </w:r>
    </w:p>
    <w:p w14:paraId="01F31475" w14:textId="77777777" w:rsidR="000D66CA" w:rsidRPr="007B3B90" w:rsidRDefault="000D66CA" w:rsidP="00974CAF">
      <w:pPr>
        <w:jc w:val="both"/>
        <w:rPr>
          <w:color w:val="000000"/>
        </w:rPr>
      </w:pPr>
    </w:p>
    <w:p w14:paraId="63A8BA35" w14:textId="5ADBD5E3" w:rsidR="0059670F" w:rsidRPr="007B3B90" w:rsidRDefault="000D66CA" w:rsidP="00974CAF">
      <w:pPr>
        <w:jc w:val="both"/>
        <w:rPr>
          <w:color w:val="000000"/>
        </w:rPr>
      </w:pPr>
      <w:r w:rsidRPr="007B3B90">
        <w:rPr>
          <w:color w:val="000000"/>
        </w:rPr>
        <w:t>P</w:t>
      </w:r>
      <w:r w:rsidR="007F5F75" w:rsidRPr="007B3B90">
        <w:rPr>
          <w:color w:val="000000"/>
        </w:rPr>
        <w:t>roject</w:t>
      </w:r>
      <w:r w:rsidR="0059670F" w:rsidRPr="007B3B90">
        <w:rPr>
          <w:color w:val="000000"/>
        </w:rPr>
        <w:t xml:space="preserve"> manager:</w:t>
      </w:r>
      <w:r w:rsidRPr="007B3B90">
        <w:rPr>
          <w:color w:val="000000"/>
        </w:rPr>
        <w:t xml:space="preserve">      </w:t>
      </w:r>
      <w:r w:rsidR="0059670F" w:rsidRPr="007B3B90">
        <w:rPr>
          <w:color w:val="000000"/>
        </w:rPr>
        <w:t xml:space="preserve">Dr Pinar </w:t>
      </w:r>
      <w:proofErr w:type="spellStart"/>
      <w:r w:rsidR="0059670F" w:rsidRPr="007B3B90">
        <w:rPr>
          <w:color w:val="000000"/>
        </w:rPr>
        <w:t>Ulug</w:t>
      </w:r>
      <w:proofErr w:type="spellEnd"/>
    </w:p>
    <w:p w14:paraId="566320BC" w14:textId="77777777" w:rsidR="00974CAF" w:rsidRPr="007B3B90" w:rsidRDefault="00974CAF" w:rsidP="00974CAF">
      <w:pPr>
        <w:jc w:val="both"/>
        <w:rPr>
          <w:color w:val="000000"/>
        </w:rPr>
      </w:pPr>
    </w:p>
    <w:p w14:paraId="4EF8F0C6" w14:textId="4EED52AF" w:rsidR="0059670F" w:rsidRPr="007B3B90" w:rsidRDefault="0059670F" w:rsidP="00974CAF">
      <w:pPr>
        <w:jc w:val="both"/>
        <w:rPr>
          <w:color w:val="000000"/>
        </w:rPr>
      </w:pPr>
      <w:r w:rsidRPr="007B3B90">
        <w:rPr>
          <w:color w:val="000000"/>
        </w:rPr>
        <w:t xml:space="preserve">For </w:t>
      </w:r>
      <w:r w:rsidR="00C77EBA" w:rsidRPr="007B3B90">
        <w:rPr>
          <w:color w:val="000000"/>
        </w:rPr>
        <w:t>clinically related</w:t>
      </w:r>
      <w:r w:rsidRPr="007B3B90">
        <w:rPr>
          <w:color w:val="000000"/>
        </w:rPr>
        <w:t xml:space="preserve"> queries</w:t>
      </w:r>
      <w:r w:rsidR="00314C26" w:rsidRPr="007B3B90">
        <w:rPr>
          <w:color w:val="000000"/>
        </w:rPr>
        <w:t>, including adverse events</w:t>
      </w:r>
      <w:r w:rsidRPr="007B3B90">
        <w:rPr>
          <w:color w:val="000000"/>
        </w:rPr>
        <w:t xml:space="preserve">, </w:t>
      </w:r>
      <w:r w:rsidR="00CD68D1" w:rsidRPr="007B3B90">
        <w:rPr>
          <w:color w:val="000000"/>
        </w:rPr>
        <w:t xml:space="preserve">and issues relating to completion of questionnaires by patients, </w:t>
      </w:r>
      <w:r w:rsidRPr="007B3B90">
        <w:rPr>
          <w:color w:val="000000"/>
        </w:rPr>
        <w:t>please contact the study co-ordinator, who will seek further advice as necessary</w:t>
      </w:r>
      <w:r w:rsidR="00DC09DE" w:rsidRPr="007B3B90">
        <w:rPr>
          <w:color w:val="000000"/>
        </w:rPr>
        <w:t>:</w:t>
      </w:r>
    </w:p>
    <w:p w14:paraId="2B9BE7C6" w14:textId="29DA4E86" w:rsidR="00663512" w:rsidRPr="007B3B90" w:rsidRDefault="00663512" w:rsidP="00974CAF">
      <w:pPr>
        <w:jc w:val="both"/>
        <w:rPr>
          <w:color w:val="000000"/>
        </w:rPr>
      </w:pPr>
    </w:p>
    <w:p w14:paraId="17176EAC" w14:textId="63122D5F" w:rsidR="00663512" w:rsidRPr="007B3B90" w:rsidRDefault="00663512" w:rsidP="00974CAF">
      <w:pPr>
        <w:jc w:val="both"/>
        <w:rPr>
          <w:color w:val="000000"/>
        </w:rPr>
      </w:pPr>
      <w:r w:rsidRPr="007B3B90">
        <w:rPr>
          <w:color w:val="000000"/>
        </w:rPr>
        <w:t xml:space="preserve">Study Coordinator: </w:t>
      </w:r>
      <w:r w:rsidR="00C4140D" w:rsidRPr="007B3B90">
        <w:rPr>
          <w:color w:val="000000"/>
        </w:rPr>
        <w:t xml:space="preserve">  </w:t>
      </w:r>
      <w:r w:rsidR="00A20B02" w:rsidRPr="007B3B90">
        <w:rPr>
          <w:color w:val="000000"/>
        </w:rPr>
        <w:t>Miss Maria Nicola</w:t>
      </w:r>
    </w:p>
    <w:p w14:paraId="4B6377E4" w14:textId="77777777" w:rsidR="0009679E" w:rsidRPr="007B3B90" w:rsidRDefault="0009679E" w:rsidP="00974CAF">
      <w:pPr>
        <w:jc w:val="both"/>
        <w:rPr>
          <w:color w:val="000000"/>
        </w:rPr>
      </w:pPr>
    </w:p>
    <w:p w14:paraId="790599E9" w14:textId="77777777" w:rsidR="00974CAF" w:rsidRPr="007B3B90" w:rsidRDefault="00663512" w:rsidP="0009679E">
      <w:pPr>
        <w:ind w:right="301"/>
        <w:jc w:val="both"/>
        <w:rPr>
          <w:color w:val="000000"/>
        </w:rPr>
      </w:pPr>
      <w:r w:rsidRPr="007B3B90">
        <w:rPr>
          <w:color w:val="000000"/>
        </w:rPr>
        <w:t>Address:</w:t>
      </w:r>
      <w:r w:rsidR="00C4140D" w:rsidRPr="007B3B90">
        <w:rPr>
          <w:color w:val="000000"/>
        </w:rPr>
        <w:t xml:space="preserve">                   Imperial College London,</w:t>
      </w:r>
    </w:p>
    <w:p w14:paraId="2639CC27" w14:textId="7C4289FE" w:rsidR="00C4140D" w:rsidRPr="007B3B90" w:rsidRDefault="0009679E" w:rsidP="0009679E">
      <w:pPr>
        <w:ind w:right="301"/>
        <w:jc w:val="both"/>
        <w:rPr>
          <w:color w:val="000000"/>
        </w:rPr>
      </w:pPr>
      <w:r w:rsidRPr="007B3B90">
        <w:rPr>
          <w:rFonts w:cs="Arial"/>
        </w:rPr>
        <w:t xml:space="preserve">                                 </w:t>
      </w:r>
      <w:r w:rsidR="00C4140D" w:rsidRPr="007B3B90">
        <w:rPr>
          <w:rFonts w:cs="Arial"/>
        </w:rPr>
        <w:t>Vascular Secretaries Office</w:t>
      </w:r>
    </w:p>
    <w:p w14:paraId="1259A88C" w14:textId="4F0CDBA0" w:rsidR="00C4140D" w:rsidRPr="007B3B90" w:rsidRDefault="0009679E" w:rsidP="0009679E">
      <w:pPr>
        <w:ind w:right="301"/>
        <w:jc w:val="both"/>
        <w:rPr>
          <w:rFonts w:cs="Arial"/>
        </w:rPr>
      </w:pPr>
      <w:r w:rsidRPr="007B3B90">
        <w:rPr>
          <w:rFonts w:cs="Arial"/>
        </w:rPr>
        <w:t xml:space="preserve">                                </w:t>
      </w:r>
      <w:r w:rsidR="00C4140D" w:rsidRPr="007B3B90">
        <w:rPr>
          <w:rFonts w:cs="Arial"/>
        </w:rPr>
        <w:t xml:space="preserve"> Waller Cardiac Building</w:t>
      </w:r>
    </w:p>
    <w:p w14:paraId="14A3B510" w14:textId="0A749A5B" w:rsidR="00C4140D" w:rsidRPr="007B3B90" w:rsidRDefault="0009679E" w:rsidP="0009679E">
      <w:pPr>
        <w:ind w:right="301"/>
        <w:jc w:val="both"/>
        <w:rPr>
          <w:rFonts w:cs="Arial"/>
        </w:rPr>
      </w:pPr>
      <w:r w:rsidRPr="007B3B90">
        <w:rPr>
          <w:rFonts w:cs="Arial"/>
        </w:rPr>
        <w:t xml:space="preserve">                                </w:t>
      </w:r>
      <w:r w:rsidR="00C4140D" w:rsidRPr="007B3B90">
        <w:rPr>
          <w:rFonts w:cs="Arial"/>
        </w:rPr>
        <w:t xml:space="preserve"> St Mary’s Hospital</w:t>
      </w:r>
    </w:p>
    <w:p w14:paraId="6765F51C" w14:textId="236FD79B" w:rsidR="00C4140D" w:rsidRPr="007B3B90" w:rsidRDefault="0009679E" w:rsidP="0009679E">
      <w:pPr>
        <w:ind w:right="301"/>
        <w:jc w:val="both"/>
        <w:rPr>
          <w:rFonts w:cs="Arial"/>
        </w:rPr>
      </w:pPr>
      <w:r w:rsidRPr="007B3B90">
        <w:rPr>
          <w:rFonts w:cs="Arial"/>
        </w:rPr>
        <w:t xml:space="preserve">                                 </w:t>
      </w:r>
      <w:proofErr w:type="spellStart"/>
      <w:r w:rsidR="00C4140D" w:rsidRPr="007B3B90">
        <w:rPr>
          <w:rFonts w:cs="Arial"/>
        </w:rPr>
        <w:t>Praed</w:t>
      </w:r>
      <w:proofErr w:type="spellEnd"/>
      <w:r w:rsidR="00C4140D" w:rsidRPr="007B3B90">
        <w:rPr>
          <w:rFonts w:cs="Arial"/>
        </w:rPr>
        <w:t xml:space="preserve"> Street</w:t>
      </w:r>
    </w:p>
    <w:p w14:paraId="4D792C41" w14:textId="14F4A50E" w:rsidR="00C4140D" w:rsidRPr="007B3B90" w:rsidRDefault="0009679E" w:rsidP="0009679E">
      <w:pPr>
        <w:ind w:right="301"/>
        <w:jc w:val="both"/>
        <w:rPr>
          <w:rFonts w:cs="Arial"/>
        </w:rPr>
      </w:pPr>
      <w:r w:rsidRPr="007B3B90">
        <w:rPr>
          <w:rFonts w:cs="Arial"/>
        </w:rPr>
        <w:t xml:space="preserve">                                </w:t>
      </w:r>
      <w:r w:rsidR="00C4140D" w:rsidRPr="007B3B90">
        <w:rPr>
          <w:rFonts w:cs="Arial"/>
        </w:rPr>
        <w:t xml:space="preserve"> London</w:t>
      </w:r>
    </w:p>
    <w:p w14:paraId="3CA3A7D5" w14:textId="1C844937" w:rsidR="00C4140D" w:rsidRPr="007B3B90" w:rsidRDefault="0009679E" w:rsidP="0009679E">
      <w:pPr>
        <w:ind w:right="301"/>
        <w:jc w:val="both"/>
        <w:rPr>
          <w:rFonts w:cs="Arial"/>
        </w:rPr>
      </w:pPr>
      <w:r w:rsidRPr="007B3B90">
        <w:rPr>
          <w:rFonts w:cs="Arial"/>
        </w:rPr>
        <w:t xml:space="preserve">                                 </w:t>
      </w:r>
      <w:r w:rsidR="00C4140D" w:rsidRPr="007B3B90">
        <w:rPr>
          <w:rFonts w:cs="Arial"/>
        </w:rPr>
        <w:t>W2 1NY</w:t>
      </w:r>
    </w:p>
    <w:p w14:paraId="6D6A77A2" w14:textId="76D873A8" w:rsidR="00C4140D" w:rsidRPr="007B3B90" w:rsidRDefault="0009679E" w:rsidP="0009679E">
      <w:pPr>
        <w:ind w:right="301"/>
        <w:jc w:val="both"/>
        <w:rPr>
          <w:rFonts w:cs="Arial"/>
        </w:rPr>
      </w:pPr>
      <w:r w:rsidRPr="007B3B90">
        <w:rPr>
          <w:rFonts w:cs="Arial"/>
        </w:rPr>
        <w:t xml:space="preserve">                                 </w:t>
      </w:r>
      <w:r w:rsidR="00C4140D" w:rsidRPr="007B3B90">
        <w:rPr>
          <w:rFonts w:cs="Arial"/>
        </w:rPr>
        <w:t xml:space="preserve">United Kingdom </w:t>
      </w:r>
    </w:p>
    <w:p w14:paraId="68D9E865" w14:textId="77777777" w:rsidR="0009679E" w:rsidRPr="007B3B90" w:rsidRDefault="0009679E" w:rsidP="0009679E">
      <w:pPr>
        <w:ind w:right="301"/>
        <w:jc w:val="both"/>
        <w:rPr>
          <w:rFonts w:cs="Arial"/>
        </w:rPr>
      </w:pPr>
    </w:p>
    <w:p w14:paraId="1F5DF0F4" w14:textId="57105101" w:rsidR="00C4140D" w:rsidRPr="007B3B90" w:rsidRDefault="00663512" w:rsidP="00974CAF">
      <w:pPr>
        <w:jc w:val="both"/>
        <w:rPr>
          <w:color w:val="000000"/>
        </w:rPr>
      </w:pPr>
      <w:r w:rsidRPr="007B3B90">
        <w:rPr>
          <w:color w:val="000000"/>
        </w:rPr>
        <w:t xml:space="preserve">Tel: </w:t>
      </w:r>
      <w:r w:rsidR="00C4140D" w:rsidRPr="007B3B90">
        <w:rPr>
          <w:color w:val="000000"/>
        </w:rPr>
        <w:t xml:space="preserve">                         +</w:t>
      </w:r>
      <w:r w:rsidR="00C4140D" w:rsidRPr="00E874C5">
        <w:rPr>
          <w:color w:val="000000"/>
        </w:rPr>
        <w:t>44</w:t>
      </w:r>
      <w:r w:rsidR="0018353B" w:rsidRPr="00E874C5">
        <w:rPr>
          <w:color w:val="000000"/>
        </w:rPr>
        <w:t xml:space="preserve"> 7376460675</w:t>
      </w:r>
      <w:r w:rsidRPr="007B3B90">
        <w:rPr>
          <w:color w:val="000000"/>
        </w:rPr>
        <w:tab/>
      </w:r>
      <w:r w:rsidRPr="007B3B90">
        <w:rPr>
          <w:color w:val="000000"/>
        </w:rPr>
        <w:tab/>
      </w:r>
      <w:r w:rsidRPr="007B3B90">
        <w:rPr>
          <w:color w:val="000000"/>
        </w:rPr>
        <w:tab/>
      </w:r>
      <w:r w:rsidRPr="007B3B90">
        <w:rPr>
          <w:color w:val="000000"/>
        </w:rPr>
        <w:tab/>
      </w:r>
      <w:r w:rsidRPr="007B3B90">
        <w:rPr>
          <w:color w:val="000000"/>
        </w:rPr>
        <w:tab/>
      </w:r>
      <w:r w:rsidRPr="007B3B90">
        <w:rPr>
          <w:color w:val="000000"/>
        </w:rPr>
        <w:tab/>
      </w:r>
      <w:r w:rsidRPr="007B3B90">
        <w:rPr>
          <w:color w:val="000000"/>
        </w:rPr>
        <w:tab/>
      </w:r>
    </w:p>
    <w:p w14:paraId="2261F412" w14:textId="2800858E" w:rsidR="00663512" w:rsidRPr="007B3B90" w:rsidRDefault="00663512" w:rsidP="00E874C5">
      <w:pPr>
        <w:jc w:val="both"/>
        <w:rPr>
          <w:color w:val="000000"/>
        </w:rPr>
      </w:pPr>
      <w:r w:rsidRPr="007B3B90">
        <w:rPr>
          <w:color w:val="000000"/>
        </w:rPr>
        <w:t xml:space="preserve">E-mail:  </w:t>
      </w:r>
      <w:r w:rsidR="00C4140D" w:rsidRPr="007B3B90">
        <w:rPr>
          <w:color w:val="000000"/>
        </w:rPr>
        <w:t xml:space="preserve">                   m.nicola@ic.ac.uk</w:t>
      </w:r>
    </w:p>
    <w:p w14:paraId="67A9F39D" w14:textId="1B25C6AF" w:rsidR="00C4140D" w:rsidRPr="007B3B90" w:rsidRDefault="007F5F75" w:rsidP="00663512">
      <w:pPr>
        <w:rPr>
          <w:color w:val="000000"/>
        </w:rPr>
      </w:pPr>
      <w:r w:rsidRPr="007B3B90">
        <w:rPr>
          <w:color w:val="000000"/>
        </w:rPr>
        <w:t xml:space="preserve">Web address: </w:t>
      </w:r>
      <w:r w:rsidR="00E874C5">
        <w:rPr>
          <w:color w:val="000000"/>
        </w:rPr>
        <w:t xml:space="preserve">         </w:t>
      </w:r>
    </w:p>
    <w:p w14:paraId="3BB4E50B" w14:textId="77777777" w:rsidR="002A2EC1" w:rsidRPr="007B3B90" w:rsidRDefault="002A2EC1">
      <w:pPr>
        <w:rPr>
          <w:b/>
          <w:sz w:val="28"/>
          <w:szCs w:val="28"/>
        </w:rPr>
      </w:pPr>
      <w:r w:rsidRPr="007B3B90">
        <w:rPr>
          <w:b/>
          <w:sz w:val="28"/>
          <w:szCs w:val="28"/>
        </w:rPr>
        <w:br w:type="page"/>
      </w:r>
    </w:p>
    <w:p w14:paraId="734B6FBC" w14:textId="40DEBAE6" w:rsidR="00663512" w:rsidRPr="007B3B90" w:rsidRDefault="00663512" w:rsidP="00663512">
      <w:pPr>
        <w:rPr>
          <w:b/>
          <w:sz w:val="28"/>
          <w:szCs w:val="28"/>
        </w:rPr>
      </w:pPr>
      <w:r w:rsidRPr="007B3B90">
        <w:rPr>
          <w:b/>
          <w:sz w:val="28"/>
          <w:szCs w:val="28"/>
        </w:rPr>
        <w:lastRenderedPageBreak/>
        <w:t>Sponsor</w:t>
      </w:r>
    </w:p>
    <w:p w14:paraId="300A7948" w14:textId="5DB31B33" w:rsidR="00663512" w:rsidRPr="007B3B90" w:rsidRDefault="00663512" w:rsidP="00663512"/>
    <w:p w14:paraId="3B276D49" w14:textId="77777777" w:rsidR="005A73EF" w:rsidRPr="007B3B90" w:rsidRDefault="005A73EF" w:rsidP="00663512"/>
    <w:p w14:paraId="1CDB8DE9" w14:textId="554EB656" w:rsidR="00663512" w:rsidRPr="007B3B90" w:rsidRDefault="00663512" w:rsidP="00663512">
      <w:pPr>
        <w:rPr>
          <w:rFonts w:cs="Arial"/>
        </w:rPr>
      </w:pPr>
      <w:r w:rsidRPr="007B3B90">
        <w:rPr>
          <w:rFonts w:cs="Arial"/>
          <w:color w:val="000000"/>
        </w:rPr>
        <w:t>Imperial College London</w:t>
      </w:r>
      <w:r w:rsidR="00A20B02" w:rsidRPr="007B3B90">
        <w:rPr>
          <w:rFonts w:cs="Arial"/>
          <w:color w:val="000000"/>
        </w:rPr>
        <w:t xml:space="preserve"> </w:t>
      </w:r>
      <w:r w:rsidRPr="007B3B90">
        <w:rPr>
          <w:rFonts w:cs="Arial"/>
        </w:rPr>
        <w:t>is the main research Sponsor for this study.  For further information regarding the sponsorship conditions, please contact the Head of Regulatory Compliance at:</w:t>
      </w:r>
    </w:p>
    <w:p w14:paraId="2DDFD373" w14:textId="77777777" w:rsidR="00663512" w:rsidRPr="007B3B90" w:rsidRDefault="00663512" w:rsidP="00663512">
      <w:pPr>
        <w:ind w:left="360"/>
        <w:rPr>
          <w:rFonts w:cs="Arial"/>
        </w:rPr>
      </w:pPr>
      <w:r w:rsidRPr="007B3B90">
        <w:rPr>
          <w:rFonts w:cs="Arial"/>
        </w:rPr>
        <w:tab/>
      </w:r>
      <w:r w:rsidRPr="007B3B90">
        <w:rPr>
          <w:rFonts w:cs="Arial"/>
        </w:rPr>
        <w:tab/>
      </w:r>
    </w:p>
    <w:p w14:paraId="7EBFB844" w14:textId="77777777" w:rsidR="00663512" w:rsidRPr="007B3B90" w:rsidRDefault="00C77239" w:rsidP="00663512">
      <w:pPr>
        <w:ind w:firstLine="720"/>
        <w:rPr>
          <w:rFonts w:cs="Arial"/>
        </w:rPr>
      </w:pPr>
      <w:r w:rsidRPr="007B3B90">
        <w:rPr>
          <w:rFonts w:cs="Arial"/>
        </w:rPr>
        <w:t>Research Governance and Integrity Team</w:t>
      </w:r>
    </w:p>
    <w:p w14:paraId="1C0D1293" w14:textId="77777777" w:rsidR="00663512" w:rsidRPr="007B3B90" w:rsidRDefault="00663512" w:rsidP="00663512">
      <w:pPr>
        <w:ind w:firstLine="720"/>
        <w:rPr>
          <w:rFonts w:cs="Arial"/>
        </w:rPr>
      </w:pPr>
      <w:r w:rsidRPr="007B3B90">
        <w:rPr>
          <w:rFonts w:cs="Arial"/>
        </w:rPr>
        <w:t>Imperial College London and Imperial College Healthcare NHS Trust</w:t>
      </w:r>
    </w:p>
    <w:p w14:paraId="3C8E4D45" w14:textId="77777777" w:rsidR="00663512" w:rsidRPr="007B3B90" w:rsidRDefault="00663512" w:rsidP="00663512">
      <w:pPr>
        <w:ind w:firstLine="720"/>
        <w:rPr>
          <w:rFonts w:cs="Arial"/>
        </w:rPr>
      </w:pPr>
      <w:r w:rsidRPr="007B3B90">
        <w:rPr>
          <w:rFonts w:cs="Arial"/>
        </w:rPr>
        <w:t>Room 215, Level 2, Medical School Building</w:t>
      </w:r>
    </w:p>
    <w:p w14:paraId="3A372EED" w14:textId="77777777" w:rsidR="00663512" w:rsidRPr="007B3B90" w:rsidRDefault="00663512" w:rsidP="00663512">
      <w:pPr>
        <w:ind w:firstLine="720"/>
        <w:rPr>
          <w:rFonts w:cs="Arial"/>
        </w:rPr>
      </w:pPr>
      <w:r w:rsidRPr="007B3B90">
        <w:rPr>
          <w:rFonts w:cs="Arial"/>
        </w:rPr>
        <w:t>Norfolk Place</w:t>
      </w:r>
    </w:p>
    <w:p w14:paraId="72101249" w14:textId="77777777" w:rsidR="00663512" w:rsidRPr="007B3B90" w:rsidRDefault="00663512" w:rsidP="00663512">
      <w:pPr>
        <w:ind w:firstLine="720"/>
        <w:rPr>
          <w:rFonts w:cs="Arial"/>
        </w:rPr>
      </w:pPr>
      <w:r w:rsidRPr="007B3B90">
        <w:rPr>
          <w:rFonts w:cs="Arial"/>
        </w:rPr>
        <w:t>London, W2 1PG</w:t>
      </w:r>
    </w:p>
    <w:p w14:paraId="6D9A72B4" w14:textId="77777777" w:rsidR="00663512" w:rsidRPr="007B3B90" w:rsidRDefault="00663512" w:rsidP="00663512">
      <w:pPr>
        <w:ind w:firstLine="720"/>
        <w:rPr>
          <w:rFonts w:cs="Arial"/>
        </w:rPr>
      </w:pPr>
      <w:r w:rsidRPr="007B3B90">
        <w:rPr>
          <w:rFonts w:cs="Arial"/>
          <w:b/>
          <w:bCs/>
        </w:rPr>
        <w:t>Tel</w:t>
      </w:r>
      <w:r w:rsidRPr="007B3B90">
        <w:rPr>
          <w:rFonts w:cs="Arial"/>
        </w:rPr>
        <w:t xml:space="preserve">: </w:t>
      </w:r>
      <w:r w:rsidRPr="007B3B90">
        <w:rPr>
          <w:rFonts w:cs="Arial"/>
          <w:b/>
          <w:bCs/>
        </w:rPr>
        <w:t>0207 594 9459/ 0207 594 1862</w:t>
      </w:r>
    </w:p>
    <w:p w14:paraId="1BAA8364" w14:textId="126276D2" w:rsidR="00B22B33" w:rsidRPr="007B3B90" w:rsidRDefault="00A70E8F" w:rsidP="001F4480">
      <w:pPr>
        <w:ind w:firstLine="720"/>
        <w:rPr>
          <w:rFonts w:cs="Arial"/>
        </w:rPr>
      </w:pPr>
      <w:hyperlink r:id="rId11" w:history="1">
        <w:r w:rsidR="00663512" w:rsidRPr="007B3B90">
          <w:rPr>
            <w:rStyle w:val="Hyperlink"/>
            <w:rFonts w:cs="Arial"/>
          </w:rPr>
          <w:t>http://www3.imperial.ac.uk/clinicalresearchgovernanceoffice</w:t>
        </w:r>
      </w:hyperlink>
      <w:r w:rsidR="00663512" w:rsidRPr="007B3B90">
        <w:rPr>
          <w:rFonts w:cs="Arial"/>
        </w:rPr>
        <w:t xml:space="preserve"> </w:t>
      </w:r>
    </w:p>
    <w:p w14:paraId="32B39D26" w14:textId="77777777" w:rsidR="005A73EF" w:rsidRPr="007B3B90" w:rsidRDefault="005A73EF" w:rsidP="00663512">
      <w:pPr>
        <w:rPr>
          <w:b/>
          <w:sz w:val="28"/>
          <w:szCs w:val="28"/>
        </w:rPr>
      </w:pPr>
    </w:p>
    <w:p w14:paraId="3A0F622E" w14:textId="77777777" w:rsidR="005A73EF" w:rsidRPr="007B3B90" w:rsidRDefault="005A73EF" w:rsidP="00663512">
      <w:pPr>
        <w:rPr>
          <w:b/>
          <w:sz w:val="28"/>
          <w:szCs w:val="28"/>
        </w:rPr>
      </w:pPr>
    </w:p>
    <w:p w14:paraId="777F5423" w14:textId="2FA07759" w:rsidR="00663512" w:rsidRPr="007B3B90" w:rsidRDefault="00663512" w:rsidP="00663512">
      <w:pPr>
        <w:rPr>
          <w:b/>
          <w:sz w:val="28"/>
          <w:szCs w:val="28"/>
        </w:rPr>
      </w:pPr>
      <w:r w:rsidRPr="007B3B90">
        <w:rPr>
          <w:b/>
          <w:sz w:val="28"/>
          <w:szCs w:val="28"/>
        </w:rPr>
        <w:t>Funder</w:t>
      </w:r>
    </w:p>
    <w:p w14:paraId="5FC2922F" w14:textId="611EF7C7" w:rsidR="00A20B02" w:rsidRPr="007B3B90" w:rsidRDefault="00A20B02" w:rsidP="00663512"/>
    <w:p w14:paraId="7C148985" w14:textId="27769820" w:rsidR="00A20B02" w:rsidRPr="007B3B90" w:rsidRDefault="00A20B02" w:rsidP="00A20B02">
      <w:pPr>
        <w:jc w:val="center"/>
        <w:rPr>
          <w:color w:val="000000"/>
          <w:sz w:val="20"/>
          <w:szCs w:val="20"/>
        </w:rPr>
      </w:pPr>
      <w:r w:rsidRPr="007B3B90">
        <w:rPr>
          <w:color w:val="000000"/>
        </w:rPr>
        <w:t>W. L. Gore &amp; Associates (UK) Ltd and Medtronic Limited</w:t>
      </w:r>
    </w:p>
    <w:p w14:paraId="2994B8F4" w14:textId="77777777" w:rsidR="00663512" w:rsidRPr="007B3B90" w:rsidRDefault="00663512" w:rsidP="00663512"/>
    <w:p w14:paraId="49883E0F" w14:textId="77777777" w:rsidR="00663512" w:rsidRPr="007B3B90" w:rsidRDefault="00663512" w:rsidP="00663512">
      <w:pPr>
        <w:autoSpaceDE w:val="0"/>
        <w:autoSpaceDN w:val="0"/>
        <w:adjustRightInd w:val="0"/>
        <w:ind w:right="-28"/>
        <w:jc w:val="both"/>
        <w:rPr>
          <w:color w:val="000000"/>
        </w:rPr>
      </w:pPr>
    </w:p>
    <w:p w14:paraId="7509890A" w14:textId="77777777" w:rsidR="00C4140D" w:rsidRPr="007B3B90" w:rsidRDefault="00C4140D" w:rsidP="00663512">
      <w:pPr>
        <w:autoSpaceDE w:val="0"/>
        <w:autoSpaceDN w:val="0"/>
        <w:adjustRightInd w:val="0"/>
        <w:ind w:right="-28"/>
        <w:jc w:val="both"/>
        <w:rPr>
          <w:color w:val="000000"/>
        </w:rPr>
      </w:pPr>
    </w:p>
    <w:p w14:paraId="6FF07998" w14:textId="77777777" w:rsidR="005A73EF" w:rsidRPr="007B3B90" w:rsidRDefault="005A73EF" w:rsidP="00663512">
      <w:pPr>
        <w:autoSpaceDE w:val="0"/>
        <w:autoSpaceDN w:val="0"/>
        <w:adjustRightInd w:val="0"/>
        <w:ind w:right="-28"/>
        <w:jc w:val="both"/>
        <w:rPr>
          <w:color w:val="000000"/>
        </w:rPr>
      </w:pPr>
    </w:p>
    <w:p w14:paraId="7A9ADF26" w14:textId="77777777" w:rsidR="005A73EF" w:rsidRPr="007B3B90" w:rsidRDefault="005A73EF" w:rsidP="00663512">
      <w:pPr>
        <w:autoSpaceDE w:val="0"/>
        <w:autoSpaceDN w:val="0"/>
        <w:adjustRightInd w:val="0"/>
        <w:ind w:right="-28"/>
        <w:jc w:val="both"/>
        <w:rPr>
          <w:color w:val="000000"/>
        </w:rPr>
      </w:pPr>
    </w:p>
    <w:p w14:paraId="0AC1A1FD" w14:textId="7775BB2F" w:rsidR="00663512" w:rsidRPr="007B3B90" w:rsidRDefault="00663512" w:rsidP="00663512">
      <w:pPr>
        <w:autoSpaceDE w:val="0"/>
        <w:autoSpaceDN w:val="0"/>
        <w:adjustRightInd w:val="0"/>
        <w:ind w:right="-28"/>
        <w:jc w:val="both"/>
        <w:rPr>
          <w:color w:val="000000"/>
        </w:rPr>
      </w:pPr>
      <w:r w:rsidRPr="007B3B90">
        <w:rPr>
          <w:color w:val="000000"/>
        </w:rPr>
        <w:t>This protocol describes the</w:t>
      </w:r>
      <w:r w:rsidR="00A20B02" w:rsidRPr="007B3B90">
        <w:rPr>
          <w:color w:val="000000"/>
        </w:rPr>
        <w:t xml:space="preserve"> STAR</w:t>
      </w:r>
      <w:r w:rsidRPr="007B3B90">
        <w:rPr>
          <w:color w:val="000000"/>
        </w:rPr>
        <w:t xml:space="preserve"> study and provides information about procedures for entering participants.  Every care was taken in its drafting, but corrections or amendments may be necessary. These will be circulated to investigators in the study.  Problems relating to this study should be referred, in the first instance, to the Chief Investigator. </w:t>
      </w:r>
    </w:p>
    <w:p w14:paraId="417026E6" w14:textId="77777777" w:rsidR="00663512" w:rsidRPr="007B3B90" w:rsidRDefault="00663512" w:rsidP="00663512">
      <w:pPr>
        <w:autoSpaceDE w:val="0"/>
        <w:autoSpaceDN w:val="0"/>
        <w:adjustRightInd w:val="0"/>
        <w:ind w:right="-28"/>
        <w:jc w:val="both"/>
        <w:rPr>
          <w:color w:val="000000"/>
        </w:rPr>
      </w:pPr>
    </w:p>
    <w:p w14:paraId="0691240B" w14:textId="7E68E58A" w:rsidR="00663512" w:rsidRPr="007B3B90" w:rsidRDefault="00663512" w:rsidP="00663512">
      <w:pPr>
        <w:autoSpaceDE w:val="0"/>
        <w:autoSpaceDN w:val="0"/>
        <w:adjustRightInd w:val="0"/>
        <w:ind w:right="-28"/>
        <w:jc w:val="both"/>
        <w:rPr>
          <w:color w:val="000000"/>
        </w:rPr>
      </w:pPr>
      <w:r w:rsidRPr="007B3B90">
        <w:rPr>
          <w:color w:val="000000"/>
        </w:rPr>
        <w:t xml:space="preserve">This study will adhere to the principles outlined in the </w:t>
      </w:r>
      <w:r w:rsidRPr="007B3B90">
        <w:rPr>
          <w:bCs/>
        </w:rPr>
        <w:t xml:space="preserve">UK Policy </w:t>
      </w:r>
      <w:r w:rsidR="00E17D92" w:rsidRPr="007B3B90">
        <w:rPr>
          <w:bCs/>
        </w:rPr>
        <w:t>Framework</w:t>
      </w:r>
      <w:r w:rsidRPr="007B3B90">
        <w:rPr>
          <w:bCs/>
        </w:rPr>
        <w:t xml:space="preserve"> for Health and Social Care Research</w:t>
      </w:r>
      <w:r w:rsidRPr="007B3B90">
        <w:rPr>
          <w:color w:val="000000"/>
        </w:rPr>
        <w:t xml:space="preserve">. It will be conducted in compliance with the protocol, the Data Protection </w:t>
      </w:r>
      <w:r w:rsidR="00E17D92" w:rsidRPr="007B3B90">
        <w:rPr>
          <w:color w:val="000000"/>
        </w:rPr>
        <w:t>Act,</w:t>
      </w:r>
      <w:r w:rsidRPr="007B3B90">
        <w:rPr>
          <w:color w:val="000000"/>
        </w:rPr>
        <w:t xml:space="preserve"> and other regulatory requirements as appropriate. </w:t>
      </w:r>
    </w:p>
    <w:p w14:paraId="5A3FC990" w14:textId="77777777" w:rsidR="002A2EC1" w:rsidRPr="007B3B90" w:rsidRDefault="002A2EC1">
      <w:pPr>
        <w:rPr>
          <w:b/>
          <w:color w:val="000000"/>
        </w:rPr>
      </w:pPr>
      <w:r w:rsidRPr="007B3B90">
        <w:rPr>
          <w:b/>
          <w:color w:val="000000"/>
        </w:rPr>
        <w:br w:type="page"/>
      </w:r>
    </w:p>
    <w:p w14:paraId="3C5C6965" w14:textId="6B52958A" w:rsidR="00663512" w:rsidRPr="007B3B90" w:rsidRDefault="00663512" w:rsidP="00663512">
      <w:pPr>
        <w:rPr>
          <w:b/>
          <w:color w:val="000000"/>
        </w:rPr>
      </w:pPr>
      <w:r w:rsidRPr="007B3B90">
        <w:rPr>
          <w:b/>
          <w:color w:val="000000"/>
          <w:sz w:val="28"/>
          <w:szCs w:val="28"/>
        </w:rPr>
        <w:lastRenderedPageBreak/>
        <w:t xml:space="preserve">Table of Contents                                                            </w:t>
      </w:r>
      <w:r w:rsidR="005A73EF" w:rsidRPr="007B3B90">
        <w:rPr>
          <w:b/>
          <w:color w:val="000000"/>
          <w:sz w:val="28"/>
          <w:szCs w:val="28"/>
        </w:rPr>
        <w:t xml:space="preserve">       </w:t>
      </w:r>
      <w:r w:rsidRPr="007B3B90">
        <w:rPr>
          <w:b/>
          <w:color w:val="000000"/>
          <w:sz w:val="28"/>
          <w:szCs w:val="28"/>
        </w:rPr>
        <w:t xml:space="preserve"> Page</w:t>
      </w:r>
      <w:r w:rsidR="00943D5B" w:rsidRPr="007B3B90">
        <w:rPr>
          <w:b/>
          <w:color w:val="000000"/>
          <w:sz w:val="28"/>
          <w:szCs w:val="28"/>
        </w:rPr>
        <w:t xml:space="preserve"> </w:t>
      </w:r>
      <w:r w:rsidRPr="007B3B90">
        <w:rPr>
          <w:b/>
          <w:color w:val="000000"/>
          <w:sz w:val="28"/>
          <w:szCs w:val="28"/>
        </w:rPr>
        <w:t>No</w:t>
      </w:r>
      <w:r w:rsidR="00943D5B" w:rsidRPr="007B3B90">
        <w:rPr>
          <w:b/>
          <w:color w:val="000000"/>
          <w:sz w:val="28"/>
          <w:szCs w:val="28"/>
        </w:rPr>
        <w:t xml:space="preserve">  </w:t>
      </w:r>
    </w:p>
    <w:p w14:paraId="7905DF8C" w14:textId="77777777" w:rsidR="005A73EF" w:rsidRPr="007B3B90" w:rsidRDefault="005A73EF" w:rsidP="00663512">
      <w:pPr>
        <w:rPr>
          <w:b/>
          <w:color w:val="000000"/>
          <w:sz w:val="28"/>
          <w:szCs w:val="28"/>
        </w:rPr>
      </w:pPr>
    </w:p>
    <w:p w14:paraId="40442D25" w14:textId="36A950AD" w:rsidR="00BE7282" w:rsidRPr="007B3B90" w:rsidRDefault="00663512" w:rsidP="007B3B90">
      <w:pPr>
        <w:pStyle w:val="TOC1"/>
        <w:rPr>
          <w:rFonts w:asciiTheme="minorHAnsi" w:eastAsiaTheme="minorEastAsia" w:hAnsiTheme="minorHAnsi" w:cstheme="minorBidi"/>
          <w:sz w:val="22"/>
          <w:szCs w:val="22"/>
          <w:lang w:eastAsia="en-GB"/>
        </w:rPr>
      </w:pPr>
      <w:r w:rsidRPr="007B3B90">
        <w:rPr>
          <w:sz w:val="28"/>
          <w:szCs w:val="28"/>
        </w:rPr>
        <w:fldChar w:fldCharType="begin"/>
      </w:r>
      <w:r w:rsidRPr="007B3B90">
        <w:rPr>
          <w:sz w:val="28"/>
          <w:szCs w:val="28"/>
        </w:rPr>
        <w:instrText xml:space="preserve"> TOC \o "1-3" \h \z \u </w:instrText>
      </w:r>
      <w:r w:rsidRPr="007B3B90">
        <w:rPr>
          <w:sz w:val="28"/>
          <w:szCs w:val="28"/>
        </w:rPr>
        <w:fldChar w:fldCharType="separate"/>
      </w:r>
      <w:hyperlink w:anchor="_Toc33098103" w:history="1">
        <w:r w:rsidR="00BE7282" w:rsidRPr="007B3B90">
          <w:rPr>
            <w:rStyle w:val="Hyperlink"/>
          </w:rPr>
          <w:t>1.</w:t>
        </w:r>
        <w:r w:rsidR="00BE7282" w:rsidRPr="007B3B90">
          <w:rPr>
            <w:rFonts w:asciiTheme="minorHAnsi" w:eastAsiaTheme="minorEastAsia" w:hAnsiTheme="minorHAnsi" w:cstheme="minorBidi"/>
            <w:sz w:val="22"/>
            <w:szCs w:val="22"/>
            <w:lang w:eastAsia="en-GB"/>
          </w:rPr>
          <w:tab/>
        </w:r>
        <w:r w:rsidR="00BE7282" w:rsidRPr="007B3B90">
          <w:rPr>
            <w:rStyle w:val="Hyperlink"/>
          </w:rPr>
          <w:t>INTRODUCTION</w:t>
        </w:r>
        <w:r w:rsidR="00BE7282" w:rsidRPr="007B3B90">
          <w:rPr>
            <w:webHidden/>
          </w:rPr>
          <w:tab/>
        </w:r>
        <w:r w:rsidR="00BE7282" w:rsidRPr="007B3B90">
          <w:rPr>
            <w:webHidden/>
          </w:rPr>
          <w:fldChar w:fldCharType="begin"/>
        </w:r>
        <w:r w:rsidR="00BE7282" w:rsidRPr="007B3B90">
          <w:rPr>
            <w:webHidden/>
          </w:rPr>
          <w:instrText xml:space="preserve"> PAGEREF _Toc33098103 \h </w:instrText>
        </w:r>
        <w:r w:rsidR="00BE7282" w:rsidRPr="007B3B90">
          <w:rPr>
            <w:webHidden/>
          </w:rPr>
        </w:r>
        <w:r w:rsidR="00BE7282" w:rsidRPr="007B3B90">
          <w:rPr>
            <w:webHidden/>
          </w:rPr>
          <w:fldChar w:fldCharType="separate"/>
        </w:r>
        <w:r w:rsidR="00B06DBF" w:rsidRPr="007B3B90">
          <w:rPr>
            <w:webHidden/>
          </w:rPr>
          <w:t>10</w:t>
        </w:r>
        <w:r w:rsidR="00BE7282" w:rsidRPr="007B3B90">
          <w:rPr>
            <w:webHidden/>
          </w:rPr>
          <w:fldChar w:fldCharType="end"/>
        </w:r>
      </w:hyperlink>
    </w:p>
    <w:p w14:paraId="1284BC09" w14:textId="0D5F0D6E" w:rsidR="00BE7282" w:rsidRPr="007B3B90" w:rsidRDefault="00A70E8F" w:rsidP="007B3B90">
      <w:pPr>
        <w:pStyle w:val="TOC1"/>
        <w:rPr>
          <w:rFonts w:asciiTheme="minorHAnsi" w:eastAsiaTheme="minorEastAsia" w:hAnsiTheme="minorHAnsi" w:cstheme="minorBidi"/>
          <w:sz w:val="22"/>
          <w:szCs w:val="22"/>
          <w:lang w:eastAsia="en-GB"/>
        </w:rPr>
      </w:pPr>
      <w:hyperlink w:anchor="_Toc33098104" w:history="1">
        <w:r w:rsidR="00BE7282" w:rsidRPr="007B3B90">
          <w:rPr>
            <w:rStyle w:val="Hyperlink"/>
          </w:rPr>
          <w:t>1.1.</w:t>
        </w:r>
        <w:r w:rsidR="00BE7282" w:rsidRPr="007B3B90">
          <w:rPr>
            <w:rFonts w:asciiTheme="minorHAnsi" w:eastAsiaTheme="minorEastAsia" w:hAnsiTheme="minorHAnsi" w:cstheme="minorBidi"/>
            <w:sz w:val="22"/>
            <w:szCs w:val="22"/>
            <w:lang w:eastAsia="en-GB"/>
          </w:rPr>
          <w:tab/>
        </w:r>
        <w:r w:rsidR="00BE7282" w:rsidRPr="007B3B90">
          <w:rPr>
            <w:rStyle w:val="Hyperlink"/>
          </w:rPr>
          <w:t>BACKGROUND</w:t>
        </w:r>
        <w:r w:rsidR="00BE7282" w:rsidRPr="007B3B90">
          <w:rPr>
            <w:webHidden/>
          </w:rPr>
          <w:tab/>
        </w:r>
        <w:r w:rsidR="00BE7282" w:rsidRPr="007B3B90">
          <w:rPr>
            <w:webHidden/>
          </w:rPr>
          <w:fldChar w:fldCharType="begin"/>
        </w:r>
        <w:r w:rsidR="00BE7282" w:rsidRPr="007B3B90">
          <w:rPr>
            <w:webHidden/>
          </w:rPr>
          <w:instrText xml:space="preserve"> PAGEREF _Toc33098104 \h </w:instrText>
        </w:r>
        <w:r w:rsidR="00BE7282" w:rsidRPr="007B3B90">
          <w:rPr>
            <w:webHidden/>
          </w:rPr>
        </w:r>
        <w:r w:rsidR="00BE7282" w:rsidRPr="007B3B90">
          <w:rPr>
            <w:webHidden/>
          </w:rPr>
          <w:fldChar w:fldCharType="separate"/>
        </w:r>
        <w:r w:rsidR="00B06DBF" w:rsidRPr="007B3B90">
          <w:rPr>
            <w:webHidden/>
          </w:rPr>
          <w:t>10</w:t>
        </w:r>
        <w:r w:rsidR="00BE7282" w:rsidRPr="007B3B90">
          <w:rPr>
            <w:webHidden/>
          </w:rPr>
          <w:fldChar w:fldCharType="end"/>
        </w:r>
      </w:hyperlink>
    </w:p>
    <w:p w14:paraId="092E65B6" w14:textId="2A840FFF" w:rsidR="00BE7282" w:rsidRPr="007B3B90" w:rsidRDefault="00A70E8F" w:rsidP="007B3B90">
      <w:pPr>
        <w:pStyle w:val="TOC1"/>
        <w:rPr>
          <w:rFonts w:asciiTheme="minorHAnsi" w:eastAsiaTheme="minorEastAsia" w:hAnsiTheme="minorHAnsi" w:cstheme="minorBidi"/>
          <w:sz w:val="22"/>
          <w:szCs w:val="22"/>
          <w:lang w:eastAsia="en-GB"/>
        </w:rPr>
      </w:pPr>
      <w:hyperlink w:anchor="_Toc33098105" w:history="1">
        <w:r w:rsidR="00BE7282" w:rsidRPr="007B3B90">
          <w:rPr>
            <w:rStyle w:val="Hyperlink"/>
          </w:rPr>
          <w:t>1.2.</w:t>
        </w:r>
        <w:r w:rsidR="00BE7282" w:rsidRPr="007B3B90">
          <w:rPr>
            <w:rFonts w:asciiTheme="minorHAnsi" w:eastAsiaTheme="minorEastAsia" w:hAnsiTheme="minorHAnsi" w:cstheme="minorBidi"/>
            <w:sz w:val="22"/>
            <w:szCs w:val="22"/>
            <w:lang w:eastAsia="en-GB"/>
          </w:rPr>
          <w:tab/>
        </w:r>
        <w:r w:rsidR="00BE7282" w:rsidRPr="007B3B90">
          <w:rPr>
            <w:rStyle w:val="Hyperlink"/>
          </w:rPr>
          <w:t>RATIONALE FOR CURRENT STUDY</w:t>
        </w:r>
        <w:r w:rsidR="00BE7282" w:rsidRPr="007B3B90">
          <w:rPr>
            <w:webHidden/>
          </w:rPr>
          <w:tab/>
        </w:r>
        <w:r w:rsidR="00BE7282" w:rsidRPr="007B3B90">
          <w:rPr>
            <w:webHidden/>
          </w:rPr>
          <w:fldChar w:fldCharType="begin"/>
        </w:r>
        <w:r w:rsidR="00BE7282" w:rsidRPr="007B3B90">
          <w:rPr>
            <w:webHidden/>
          </w:rPr>
          <w:instrText xml:space="preserve"> PAGEREF _Toc33098105 \h </w:instrText>
        </w:r>
        <w:r w:rsidR="00BE7282" w:rsidRPr="007B3B90">
          <w:rPr>
            <w:webHidden/>
          </w:rPr>
        </w:r>
        <w:r w:rsidR="00BE7282" w:rsidRPr="007B3B90">
          <w:rPr>
            <w:webHidden/>
          </w:rPr>
          <w:fldChar w:fldCharType="separate"/>
        </w:r>
        <w:r w:rsidR="00B06DBF" w:rsidRPr="007B3B90">
          <w:rPr>
            <w:webHidden/>
          </w:rPr>
          <w:t>14</w:t>
        </w:r>
        <w:r w:rsidR="00BE7282" w:rsidRPr="007B3B90">
          <w:rPr>
            <w:webHidden/>
          </w:rPr>
          <w:fldChar w:fldCharType="end"/>
        </w:r>
      </w:hyperlink>
    </w:p>
    <w:p w14:paraId="5400B2AF" w14:textId="2147C295" w:rsidR="00BE7282" w:rsidRPr="007B3B90" w:rsidRDefault="00A70E8F" w:rsidP="007B3B90">
      <w:pPr>
        <w:pStyle w:val="TOC1"/>
        <w:rPr>
          <w:rFonts w:asciiTheme="minorHAnsi" w:eastAsiaTheme="minorEastAsia" w:hAnsiTheme="minorHAnsi" w:cstheme="minorBidi"/>
          <w:sz w:val="22"/>
          <w:szCs w:val="22"/>
          <w:lang w:eastAsia="en-GB"/>
        </w:rPr>
      </w:pPr>
      <w:hyperlink w:anchor="_Toc33098106" w:history="1">
        <w:r w:rsidR="00BE7282" w:rsidRPr="007B3B90">
          <w:rPr>
            <w:rStyle w:val="Hyperlink"/>
          </w:rPr>
          <w:t>2.</w:t>
        </w:r>
        <w:r w:rsidR="00BE7282" w:rsidRPr="007B3B90">
          <w:rPr>
            <w:rFonts w:asciiTheme="minorHAnsi" w:eastAsiaTheme="minorEastAsia" w:hAnsiTheme="minorHAnsi" w:cstheme="minorBidi"/>
            <w:sz w:val="22"/>
            <w:szCs w:val="22"/>
            <w:lang w:eastAsia="en-GB"/>
          </w:rPr>
          <w:tab/>
        </w:r>
        <w:r w:rsidR="00BE7282" w:rsidRPr="007B3B90">
          <w:rPr>
            <w:rStyle w:val="Hyperlink"/>
          </w:rPr>
          <w:t>STUDY OBJECTIVES</w:t>
        </w:r>
        <w:r w:rsidR="00BE7282" w:rsidRPr="007B3B90">
          <w:rPr>
            <w:webHidden/>
          </w:rPr>
          <w:tab/>
        </w:r>
        <w:r w:rsidR="00BE7282" w:rsidRPr="007B3B90">
          <w:rPr>
            <w:webHidden/>
          </w:rPr>
          <w:fldChar w:fldCharType="begin"/>
        </w:r>
        <w:r w:rsidR="00BE7282" w:rsidRPr="007B3B90">
          <w:rPr>
            <w:webHidden/>
          </w:rPr>
          <w:instrText xml:space="preserve"> PAGEREF _Toc33098106 \h </w:instrText>
        </w:r>
        <w:r w:rsidR="00BE7282" w:rsidRPr="007B3B90">
          <w:rPr>
            <w:webHidden/>
          </w:rPr>
        </w:r>
        <w:r w:rsidR="00BE7282" w:rsidRPr="007B3B90">
          <w:rPr>
            <w:webHidden/>
          </w:rPr>
          <w:fldChar w:fldCharType="separate"/>
        </w:r>
        <w:r w:rsidR="00B06DBF" w:rsidRPr="007B3B90">
          <w:rPr>
            <w:webHidden/>
          </w:rPr>
          <w:t>14</w:t>
        </w:r>
        <w:r w:rsidR="00BE7282" w:rsidRPr="007B3B90">
          <w:rPr>
            <w:webHidden/>
          </w:rPr>
          <w:fldChar w:fldCharType="end"/>
        </w:r>
      </w:hyperlink>
    </w:p>
    <w:p w14:paraId="39D3CCED" w14:textId="06E88169" w:rsidR="00BE7282" w:rsidRPr="007B3B90" w:rsidRDefault="00A70E8F" w:rsidP="007B3B90">
      <w:pPr>
        <w:pStyle w:val="TOC1"/>
        <w:rPr>
          <w:rFonts w:asciiTheme="minorHAnsi" w:eastAsiaTheme="minorEastAsia" w:hAnsiTheme="minorHAnsi" w:cstheme="minorBidi"/>
          <w:sz w:val="22"/>
          <w:szCs w:val="22"/>
          <w:lang w:eastAsia="en-GB"/>
        </w:rPr>
      </w:pPr>
      <w:hyperlink w:anchor="_Toc33098107" w:history="1">
        <w:r w:rsidR="00BE7282" w:rsidRPr="007B3B90">
          <w:rPr>
            <w:rStyle w:val="Hyperlink"/>
          </w:rPr>
          <w:t>3.</w:t>
        </w:r>
        <w:r w:rsidR="00BE7282" w:rsidRPr="007B3B90">
          <w:rPr>
            <w:rFonts w:asciiTheme="minorHAnsi" w:eastAsiaTheme="minorEastAsia" w:hAnsiTheme="minorHAnsi" w:cstheme="minorBidi"/>
            <w:sz w:val="22"/>
            <w:szCs w:val="22"/>
            <w:lang w:eastAsia="en-GB"/>
          </w:rPr>
          <w:tab/>
        </w:r>
        <w:r w:rsidR="00BE7282" w:rsidRPr="007B3B90">
          <w:rPr>
            <w:rStyle w:val="Hyperlink"/>
          </w:rPr>
          <w:t>STUDY DESIGN</w:t>
        </w:r>
        <w:r w:rsidR="00BE7282" w:rsidRPr="007B3B90">
          <w:rPr>
            <w:webHidden/>
          </w:rPr>
          <w:tab/>
        </w:r>
        <w:r w:rsidR="00BE7282" w:rsidRPr="007B3B90">
          <w:rPr>
            <w:webHidden/>
          </w:rPr>
          <w:fldChar w:fldCharType="begin"/>
        </w:r>
        <w:r w:rsidR="00BE7282" w:rsidRPr="007B3B90">
          <w:rPr>
            <w:webHidden/>
          </w:rPr>
          <w:instrText xml:space="preserve"> PAGEREF _Toc33098107 \h </w:instrText>
        </w:r>
        <w:r w:rsidR="00BE7282" w:rsidRPr="007B3B90">
          <w:rPr>
            <w:webHidden/>
          </w:rPr>
        </w:r>
        <w:r w:rsidR="00BE7282" w:rsidRPr="007B3B90">
          <w:rPr>
            <w:webHidden/>
          </w:rPr>
          <w:fldChar w:fldCharType="separate"/>
        </w:r>
        <w:r w:rsidR="00B06DBF" w:rsidRPr="007B3B90">
          <w:rPr>
            <w:webHidden/>
          </w:rPr>
          <w:t>15</w:t>
        </w:r>
        <w:r w:rsidR="00BE7282" w:rsidRPr="007B3B90">
          <w:rPr>
            <w:webHidden/>
          </w:rPr>
          <w:fldChar w:fldCharType="end"/>
        </w:r>
      </w:hyperlink>
    </w:p>
    <w:p w14:paraId="0D69626A" w14:textId="0069B9AE" w:rsidR="00BE7282" w:rsidRPr="007B3B90" w:rsidRDefault="00A70E8F" w:rsidP="007B3B90">
      <w:pPr>
        <w:pStyle w:val="TOC1"/>
        <w:rPr>
          <w:rFonts w:asciiTheme="minorHAnsi" w:eastAsiaTheme="minorEastAsia" w:hAnsiTheme="minorHAnsi" w:cstheme="minorBidi"/>
          <w:sz w:val="22"/>
          <w:szCs w:val="22"/>
          <w:lang w:eastAsia="en-GB"/>
        </w:rPr>
      </w:pPr>
      <w:hyperlink w:anchor="_Toc33098108" w:history="1">
        <w:r w:rsidR="00BE7282" w:rsidRPr="007B3B90">
          <w:rPr>
            <w:rStyle w:val="Hyperlink"/>
          </w:rPr>
          <w:t>3.1.</w:t>
        </w:r>
        <w:r w:rsidR="00BE7282" w:rsidRPr="007B3B90">
          <w:rPr>
            <w:rFonts w:asciiTheme="minorHAnsi" w:eastAsiaTheme="minorEastAsia" w:hAnsiTheme="minorHAnsi" w:cstheme="minorBidi"/>
            <w:sz w:val="22"/>
            <w:szCs w:val="22"/>
            <w:lang w:eastAsia="en-GB"/>
          </w:rPr>
          <w:tab/>
        </w:r>
        <w:r w:rsidR="00BE7282" w:rsidRPr="007B3B90">
          <w:rPr>
            <w:rStyle w:val="Hyperlink"/>
          </w:rPr>
          <w:t>STUDY OUTCOME MEASURES</w:t>
        </w:r>
        <w:r w:rsidR="00BE7282" w:rsidRPr="007B3B90">
          <w:rPr>
            <w:webHidden/>
          </w:rPr>
          <w:tab/>
        </w:r>
        <w:r w:rsidR="00BE7282" w:rsidRPr="007B3B90">
          <w:rPr>
            <w:webHidden/>
          </w:rPr>
          <w:fldChar w:fldCharType="begin"/>
        </w:r>
        <w:r w:rsidR="00BE7282" w:rsidRPr="007B3B90">
          <w:rPr>
            <w:webHidden/>
          </w:rPr>
          <w:instrText xml:space="preserve"> PAGEREF _Toc33098108 \h </w:instrText>
        </w:r>
        <w:r w:rsidR="00BE7282" w:rsidRPr="007B3B90">
          <w:rPr>
            <w:webHidden/>
          </w:rPr>
        </w:r>
        <w:r w:rsidR="00BE7282" w:rsidRPr="007B3B90">
          <w:rPr>
            <w:webHidden/>
          </w:rPr>
          <w:fldChar w:fldCharType="separate"/>
        </w:r>
        <w:r w:rsidR="00B06DBF" w:rsidRPr="007B3B90">
          <w:rPr>
            <w:webHidden/>
          </w:rPr>
          <w:t>16</w:t>
        </w:r>
        <w:r w:rsidR="00BE7282" w:rsidRPr="007B3B90">
          <w:rPr>
            <w:webHidden/>
          </w:rPr>
          <w:fldChar w:fldCharType="end"/>
        </w:r>
      </w:hyperlink>
    </w:p>
    <w:p w14:paraId="1EF12678" w14:textId="1E97BEE0" w:rsidR="00BE7282" w:rsidRPr="007B3B90" w:rsidRDefault="00A70E8F" w:rsidP="007B3B90">
      <w:pPr>
        <w:pStyle w:val="TOC1"/>
        <w:rPr>
          <w:rFonts w:asciiTheme="minorHAnsi" w:eastAsiaTheme="minorEastAsia" w:hAnsiTheme="minorHAnsi" w:cstheme="minorBidi"/>
          <w:sz w:val="22"/>
          <w:szCs w:val="22"/>
          <w:lang w:eastAsia="en-GB"/>
        </w:rPr>
      </w:pPr>
      <w:hyperlink w:anchor="_Toc33098109" w:history="1">
        <w:r w:rsidR="00BE7282" w:rsidRPr="007B3B90">
          <w:rPr>
            <w:rStyle w:val="Hyperlink"/>
          </w:rPr>
          <w:t>4.</w:t>
        </w:r>
        <w:r w:rsidR="00BE7282" w:rsidRPr="007B3B90">
          <w:rPr>
            <w:rFonts w:asciiTheme="minorHAnsi" w:eastAsiaTheme="minorEastAsia" w:hAnsiTheme="minorHAnsi" w:cstheme="minorBidi"/>
            <w:sz w:val="22"/>
            <w:szCs w:val="22"/>
            <w:lang w:eastAsia="en-GB"/>
          </w:rPr>
          <w:tab/>
        </w:r>
        <w:r w:rsidR="00BE7282" w:rsidRPr="007B3B90">
          <w:rPr>
            <w:rStyle w:val="Hyperlink"/>
          </w:rPr>
          <w:t>PARTICIPANT ENTRY</w:t>
        </w:r>
        <w:r w:rsidR="00BE7282" w:rsidRPr="007B3B90">
          <w:rPr>
            <w:webHidden/>
          </w:rPr>
          <w:tab/>
        </w:r>
        <w:r w:rsidR="00BE7282" w:rsidRPr="007B3B90">
          <w:rPr>
            <w:webHidden/>
          </w:rPr>
          <w:fldChar w:fldCharType="begin"/>
        </w:r>
        <w:r w:rsidR="00BE7282" w:rsidRPr="007B3B90">
          <w:rPr>
            <w:webHidden/>
          </w:rPr>
          <w:instrText xml:space="preserve"> PAGEREF _Toc33098109 \h </w:instrText>
        </w:r>
        <w:r w:rsidR="00BE7282" w:rsidRPr="007B3B90">
          <w:rPr>
            <w:webHidden/>
          </w:rPr>
        </w:r>
        <w:r w:rsidR="00BE7282" w:rsidRPr="007B3B90">
          <w:rPr>
            <w:webHidden/>
          </w:rPr>
          <w:fldChar w:fldCharType="separate"/>
        </w:r>
        <w:r w:rsidR="00B06DBF" w:rsidRPr="007B3B90">
          <w:rPr>
            <w:webHidden/>
          </w:rPr>
          <w:t>17</w:t>
        </w:r>
        <w:r w:rsidR="00BE7282" w:rsidRPr="007B3B90">
          <w:rPr>
            <w:webHidden/>
          </w:rPr>
          <w:fldChar w:fldCharType="end"/>
        </w:r>
      </w:hyperlink>
    </w:p>
    <w:p w14:paraId="245D98A5" w14:textId="2A5E3DC3" w:rsidR="00BE7282" w:rsidRPr="007B3B90" w:rsidRDefault="00A70E8F" w:rsidP="007B3B90">
      <w:pPr>
        <w:pStyle w:val="TOC1"/>
        <w:rPr>
          <w:rFonts w:asciiTheme="minorHAnsi" w:eastAsiaTheme="minorEastAsia" w:hAnsiTheme="minorHAnsi" w:cstheme="minorBidi"/>
          <w:sz w:val="22"/>
          <w:szCs w:val="22"/>
          <w:lang w:eastAsia="en-GB"/>
        </w:rPr>
      </w:pPr>
      <w:hyperlink w:anchor="_Toc33098110" w:history="1">
        <w:r w:rsidR="00BE7282" w:rsidRPr="007B3B90">
          <w:rPr>
            <w:rStyle w:val="Hyperlink"/>
          </w:rPr>
          <w:t>4.1.</w:t>
        </w:r>
        <w:r w:rsidR="00BE7282" w:rsidRPr="007B3B90">
          <w:rPr>
            <w:rFonts w:asciiTheme="minorHAnsi" w:eastAsiaTheme="minorEastAsia" w:hAnsiTheme="minorHAnsi" w:cstheme="minorBidi"/>
            <w:sz w:val="22"/>
            <w:szCs w:val="22"/>
            <w:lang w:eastAsia="en-GB"/>
          </w:rPr>
          <w:tab/>
        </w:r>
        <w:r w:rsidR="00BE7282" w:rsidRPr="007B3B90">
          <w:rPr>
            <w:rStyle w:val="Hyperlink"/>
          </w:rPr>
          <w:t>PRE-REGISTRATION EVALUATIONS</w:t>
        </w:r>
        <w:r w:rsidR="00BE7282" w:rsidRPr="007B3B90">
          <w:rPr>
            <w:webHidden/>
          </w:rPr>
          <w:tab/>
        </w:r>
        <w:r w:rsidR="00BE7282" w:rsidRPr="007B3B90">
          <w:rPr>
            <w:webHidden/>
          </w:rPr>
          <w:fldChar w:fldCharType="begin"/>
        </w:r>
        <w:r w:rsidR="00BE7282" w:rsidRPr="007B3B90">
          <w:rPr>
            <w:webHidden/>
          </w:rPr>
          <w:instrText xml:space="preserve"> PAGEREF _Toc33098110 \h </w:instrText>
        </w:r>
        <w:r w:rsidR="00BE7282" w:rsidRPr="007B3B90">
          <w:rPr>
            <w:webHidden/>
          </w:rPr>
        </w:r>
        <w:r w:rsidR="00BE7282" w:rsidRPr="007B3B90">
          <w:rPr>
            <w:webHidden/>
          </w:rPr>
          <w:fldChar w:fldCharType="separate"/>
        </w:r>
        <w:r w:rsidR="00B06DBF" w:rsidRPr="007B3B90">
          <w:rPr>
            <w:webHidden/>
          </w:rPr>
          <w:t>17</w:t>
        </w:r>
        <w:r w:rsidR="00BE7282" w:rsidRPr="007B3B90">
          <w:rPr>
            <w:webHidden/>
          </w:rPr>
          <w:fldChar w:fldCharType="end"/>
        </w:r>
      </w:hyperlink>
    </w:p>
    <w:p w14:paraId="35B5BD9F" w14:textId="0F3135C5" w:rsidR="00BE7282" w:rsidRPr="007B3B90" w:rsidRDefault="00A70E8F" w:rsidP="007B3B90">
      <w:pPr>
        <w:pStyle w:val="TOC1"/>
        <w:rPr>
          <w:rFonts w:asciiTheme="minorHAnsi" w:eastAsiaTheme="minorEastAsia" w:hAnsiTheme="minorHAnsi" w:cstheme="minorBidi"/>
          <w:sz w:val="22"/>
          <w:szCs w:val="22"/>
          <w:lang w:eastAsia="en-GB"/>
        </w:rPr>
      </w:pPr>
      <w:hyperlink w:anchor="_Toc33098111" w:history="1">
        <w:r w:rsidR="00BE7282" w:rsidRPr="007B3B90">
          <w:rPr>
            <w:rStyle w:val="Hyperlink"/>
          </w:rPr>
          <w:t>4.2.</w:t>
        </w:r>
        <w:r w:rsidR="00BE7282" w:rsidRPr="007B3B90">
          <w:rPr>
            <w:rFonts w:asciiTheme="minorHAnsi" w:eastAsiaTheme="minorEastAsia" w:hAnsiTheme="minorHAnsi" w:cstheme="minorBidi"/>
            <w:sz w:val="22"/>
            <w:szCs w:val="22"/>
            <w:lang w:eastAsia="en-GB"/>
          </w:rPr>
          <w:tab/>
        </w:r>
        <w:r w:rsidR="00BE7282" w:rsidRPr="007B3B90">
          <w:rPr>
            <w:rStyle w:val="Hyperlink"/>
          </w:rPr>
          <w:t>INCLUSION CRITERIA</w:t>
        </w:r>
        <w:r w:rsidR="00BE7282" w:rsidRPr="007B3B90">
          <w:rPr>
            <w:webHidden/>
          </w:rPr>
          <w:tab/>
        </w:r>
        <w:r w:rsidR="00BE7282" w:rsidRPr="007B3B90">
          <w:rPr>
            <w:webHidden/>
          </w:rPr>
          <w:fldChar w:fldCharType="begin"/>
        </w:r>
        <w:r w:rsidR="00BE7282" w:rsidRPr="007B3B90">
          <w:rPr>
            <w:webHidden/>
          </w:rPr>
          <w:instrText xml:space="preserve"> PAGEREF _Toc33098111 \h </w:instrText>
        </w:r>
        <w:r w:rsidR="00BE7282" w:rsidRPr="007B3B90">
          <w:rPr>
            <w:webHidden/>
          </w:rPr>
        </w:r>
        <w:r w:rsidR="00BE7282" w:rsidRPr="007B3B90">
          <w:rPr>
            <w:webHidden/>
          </w:rPr>
          <w:fldChar w:fldCharType="separate"/>
        </w:r>
        <w:r w:rsidR="00B06DBF" w:rsidRPr="007B3B90">
          <w:rPr>
            <w:webHidden/>
          </w:rPr>
          <w:t>17</w:t>
        </w:r>
        <w:r w:rsidR="00BE7282" w:rsidRPr="007B3B90">
          <w:rPr>
            <w:webHidden/>
          </w:rPr>
          <w:fldChar w:fldCharType="end"/>
        </w:r>
      </w:hyperlink>
    </w:p>
    <w:p w14:paraId="183841C6" w14:textId="0B6240E1" w:rsidR="00BE7282" w:rsidRPr="007B3B90" w:rsidRDefault="00A70E8F" w:rsidP="007B3B90">
      <w:pPr>
        <w:pStyle w:val="TOC1"/>
        <w:rPr>
          <w:rFonts w:asciiTheme="minorHAnsi" w:eastAsiaTheme="minorEastAsia" w:hAnsiTheme="minorHAnsi" w:cstheme="minorBidi"/>
          <w:sz w:val="22"/>
          <w:szCs w:val="22"/>
          <w:lang w:eastAsia="en-GB"/>
        </w:rPr>
      </w:pPr>
      <w:hyperlink w:anchor="_Toc33098112" w:history="1">
        <w:r w:rsidR="00BE7282" w:rsidRPr="007B3B90">
          <w:rPr>
            <w:rStyle w:val="Hyperlink"/>
          </w:rPr>
          <w:t>4.3.</w:t>
        </w:r>
        <w:r w:rsidR="00BE7282" w:rsidRPr="007B3B90">
          <w:rPr>
            <w:rFonts w:asciiTheme="minorHAnsi" w:eastAsiaTheme="minorEastAsia" w:hAnsiTheme="minorHAnsi" w:cstheme="minorBidi"/>
            <w:sz w:val="22"/>
            <w:szCs w:val="22"/>
            <w:lang w:eastAsia="en-GB"/>
          </w:rPr>
          <w:tab/>
        </w:r>
        <w:r w:rsidR="00BE7282" w:rsidRPr="007B3B90">
          <w:rPr>
            <w:rStyle w:val="Hyperlink"/>
          </w:rPr>
          <w:t>EXCLUSION CRITERIA</w:t>
        </w:r>
        <w:r w:rsidR="00BE7282" w:rsidRPr="007B3B90">
          <w:rPr>
            <w:webHidden/>
          </w:rPr>
          <w:tab/>
        </w:r>
        <w:r w:rsidR="00BE7282" w:rsidRPr="007B3B90">
          <w:rPr>
            <w:webHidden/>
          </w:rPr>
          <w:fldChar w:fldCharType="begin"/>
        </w:r>
        <w:r w:rsidR="00BE7282" w:rsidRPr="007B3B90">
          <w:rPr>
            <w:webHidden/>
          </w:rPr>
          <w:instrText xml:space="preserve"> PAGEREF _Toc33098112 \h </w:instrText>
        </w:r>
        <w:r w:rsidR="00BE7282" w:rsidRPr="007B3B90">
          <w:rPr>
            <w:webHidden/>
          </w:rPr>
        </w:r>
        <w:r w:rsidR="00BE7282" w:rsidRPr="007B3B90">
          <w:rPr>
            <w:webHidden/>
          </w:rPr>
          <w:fldChar w:fldCharType="separate"/>
        </w:r>
        <w:r w:rsidR="00B06DBF" w:rsidRPr="007B3B90">
          <w:rPr>
            <w:webHidden/>
          </w:rPr>
          <w:t>18</w:t>
        </w:r>
        <w:r w:rsidR="00BE7282" w:rsidRPr="007B3B90">
          <w:rPr>
            <w:webHidden/>
          </w:rPr>
          <w:fldChar w:fldCharType="end"/>
        </w:r>
      </w:hyperlink>
    </w:p>
    <w:p w14:paraId="41400792" w14:textId="166C4359" w:rsidR="00BE7282" w:rsidRPr="007B3B90" w:rsidRDefault="00A70E8F" w:rsidP="007B3B90">
      <w:pPr>
        <w:pStyle w:val="TOC1"/>
        <w:rPr>
          <w:rFonts w:asciiTheme="minorHAnsi" w:eastAsiaTheme="minorEastAsia" w:hAnsiTheme="minorHAnsi" w:cstheme="minorBidi"/>
          <w:sz w:val="22"/>
          <w:szCs w:val="22"/>
          <w:lang w:eastAsia="en-GB"/>
        </w:rPr>
      </w:pPr>
      <w:hyperlink w:anchor="_Toc33098113" w:history="1">
        <w:r w:rsidR="00BE7282" w:rsidRPr="007B3B90">
          <w:rPr>
            <w:rStyle w:val="Hyperlink"/>
          </w:rPr>
          <w:t>4.4.</w:t>
        </w:r>
        <w:r w:rsidR="00BE7282" w:rsidRPr="007B3B90">
          <w:rPr>
            <w:rFonts w:asciiTheme="minorHAnsi" w:eastAsiaTheme="minorEastAsia" w:hAnsiTheme="minorHAnsi" w:cstheme="minorBidi"/>
            <w:sz w:val="22"/>
            <w:szCs w:val="22"/>
            <w:lang w:eastAsia="en-GB"/>
          </w:rPr>
          <w:tab/>
        </w:r>
        <w:r w:rsidR="00BE7282" w:rsidRPr="007B3B90">
          <w:rPr>
            <w:rStyle w:val="Hyperlink"/>
          </w:rPr>
          <w:t>WITHDRAWAL CRITERIA</w:t>
        </w:r>
        <w:r w:rsidR="00BE7282" w:rsidRPr="007B3B90">
          <w:rPr>
            <w:webHidden/>
          </w:rPr>
          <w:tab/>
        </w:r>
        <w:r w:rsidR="00BE7282" w:rsidRPr="007B3B90">
          <w:rPr>
            <w:webHidden/>
          </w:rPr>
          <w:fldChar w:fldCharType="begin"/>
        </w:r>
        <w:r w:rsidR="00BE7282" w:rsidRPr="007B3B90">
          <w:rPr>
            <w:webHidden/>
          </w:rPr>
          <w:instrText xml:space="preserve"> PAGEREF _Toc33098113 \h </w:instrText>
        </w:r>
        <w:r w:rsidR="00BE7282" w:rsidRPr="007B3B90">
          <w:rPr>
            <w:webHidden/>
          </w:rPr>
        </w:r>
        <w:r w:rsidR="00BE7282" w:rsidRPr="007B3B90">
          <w:rPr>
            <w:webHidden/>
          </w:rPr>
          <w:fldChar w:fldCharType="separate"/>
        </w:r>
        <w:r w:rsidR="00B06DBF" w:rsidRPr="007B3B90">
          <w:rPr>
            <w:webHidden/>
          </w:rPr>
          <w:t>20</w:t>
        </w:r>
        <w:r w:rsidR="00BE7282" w:rsidRPr="007B3B90">
          <w:rPr>
            <w:webHidden/>
          </w:rPr>
          <w:fldChar w:fldCharType="end"/>
        </w:r>
      </w:hyperlink>
    </w:p>
    <w:p w14:paraId="506F402F" w14:textId="57716B3B" w:rsidR="00BE7282" w:rsidRPr="007B3B90" w:rsidRDefault="00A70E8F" w:rsidP="007B3B90">
      <w:pPr>
        <w:pStyle w:val="TOC1"/>
        <w:rPr>
          <w:rFonts w:asciiTheme="minorHAnsi" w:eastAsiaTheme="minorEastAsia" w:hAnsiTheme="minorHAnsi" w:cstheme="minorBidi"/>
          <w:sz w:val="22"/>
          <w:szCs w:val="22"/>
          <w:lang w:eastAsia="en-GB"/>
        </w:rPr>
      </w:pPr>
      <w:hyperlink w:anchor="_Toc33098114" w:history="1">
        <w:r w:rsidR="00BE7282" w:rsidRPr="007B3B90">
          <w:rPr>
            <w:rStyle w:val="Hyperlink"/>
          </w:rPr>
          <w:t>5.</w:t>
        </w:r>
        <w:r w:rsidR="00BE7282" w:rsidRPr="007B3B90">
          <w:rPr>
            <w:rFonts w:asciiTheme="minorHAnsi" w:eastAsiaTheme="minorEastAsia" w:hAnsiTheme="minorHAnsi" w:cstheme="minorBidi"/>
            <w:sz w:val="22"/>
            <w:szCs w:val="22"/>
            <w:lang w:eastAsia="en-GB"/>
          </w:rPr>
          <w:tab/>
        </w:r>
        <w:r w:rsidR="00BE7282" w:rsidRPr="007B3B90">
          <w:rPr>
            <w:rStyle w:val="Hyperlink"/>
          </w:rPr>
          <w:t>ADVERSE EVENTS</w:t>
        </w:r>
        <w:r w:rsidR="00BE7282" w:rsidRPr="007B3B90">
          <w:rPr>
            <w:webHidden/>
          </w:rPr>
          <w:tab/>
        </w:r>
        <w:r w:rsidR="00BE7282" w:rsidRPr="007B3B90">
          <w:rPr>
            <w:webHidden/>
          </w:rPr>
          <w:fldChar w:fldCharType="begin"/>
        </w:r>
        <w:r w:rsidR="00BE7282" w:rsidRPr="007B3B90">
          <w:rPr>
            <w:webHidden/>
          </w:rPr>
          <w:instrText xml:space="preserve"> PAGEREF _Toc33098114 \h </w:instrText>
        </w:r>
        <w:r w:rsidR="00BE7282" w:rsidRPr="007B3B90">
          <w:rPr>
            <w:webHidden/>
          </w:rPr>
        </w:r>
        <w:r w:rsidR="00BE7282" w:rsidRPr="007B3B90">
          <w:rPr>
            <w:webHidden/>
          </w:rPr>
          <w:fldChar w:fldCharType="separate"/>
        </w:r>
        <w:r w:rsidR="00B06DBF" w:rsidRPr="007B3B90">
          <w:rPr>
            <w:webHidden/>
          </w:rPr>
          <w:t>20</w:t>
        </w:r>
        <w:r w:rsidR="00BE7282" w:rsidRPr="007B3B90">
          <w:rPr>
            <w:webHidden/>
          </w:rPr>
          <w:fldChar w:fldCharType="end"/>
        </w:r>
      </w:hyperlink>
    </w:p>
    <w:p w14:paraId="56FE243D" w14:textId="652209E4" w:rsidR="00BE7282" w:rsidRPr="007B3B90" w:rsidRDefault="00A70E8F" w:rsidP="007B3B90">
      <w:pPr>
        <w:pStyle w:val="TOC1"/>
        <w:rPr>
          <w:rFonts w:asciiTheme="minorHAnsi" w:eastAsiaTheme="minorEastAsia" w:hAnsiTheme="minorHAnsi" w:cstheme="minorBidi"/>
          <w:sz w:val="22"/>
          <w:szCs w:val="22"/>
          <w:lang w:eastAsia="en-GB"/>
        </w:rPr>
      </w:pPr>
      <w:hyperlink w:anchor="_Toc33098115" w:history="1">
        <w:r w:rsidR="00BE7282" w:rsidRPr="007B3B90">
          <w:rPr>
            <w:rStyle w:val="Hyperlink"/>
          </w:rPr>
          <w:t>5.1.</w:t>
        </w:r>
        <w:r w:rsidR="00BE7282" w:rsidRPr="007B3B90">
          <w:rPr>
            <w:rFonts w:asciiTheme="minorHAnsi" w:eastAsiaTheme="minorEastAsia" w:hAnsiTheme="minorHAnsi" w:cstheme="minorBidi"/>
            <w:sz w:val="22"/>
            <w:szCs w:val="22"/>
            <w:lang w:eastAsia="en-GB"/>
          </w:rPr>
          <w:tab/>
        </w:r>
        <w:r w:rsidR="00BE7282" w:rsidRPr="007B3B90">
          <w:rPr>
            <w:rStyle w:val="Hyperlink"/>
          </w:rPr>
          <w:t>DEFINITIONS</w:t>
        </w:r>
        <w:r w:rsidR="00BE7282" w:rsidRPr="007B3B90">
          <w:rPr>
            <w:webHidden/>
          </w:rPr>
          <w:tab/>
        </w:r>
        <w:r w:rsidR="00BE7282" w:rsidRPr="007B3B90">
          <w:rPr>
            <w:webHidden/>
          </w:rPr>
          <w:fldChar w:fldCharType="begin"/>
        </w:r>
        <w:r w:rsidR="00BE7282" w:rsidRPr="007B3B90">
          <w:rPr>
            <w:webHidden/>
          </w:rPr>
          <w:instrText xml:space="preserve"> PAGEREF _Toc33098115 \h </w:instrText>
        </w:r>
        <w:r w:rsidR="00BE7282" w:rsidRPr="007B3B90">
          <w:rPr>
            <w:webHidden/>
          </w:rPr>
        </w:r>
        <w:r w:rsidR="00BE7282" w:rsidRPr="007B3B90">
          <w:rPr>
            <w:webHidden/>
          </w:rPr>
          <w:fldChar w:fldCharType="separate"/>
        </w:r>
        <w:r w:rsidR="00B06DBF" w:rsidRPr="007B3B90">
          <w:rPr>
            <w:webHidden/>
          </w:rPr>
          <w:t>20</w:t>
        </w:r>
        <w:r w:rsidR="00BE7282" w:rsidRPr="007B3B90">
          <w:rPr>
            <w:webHidden/>
          </w:rPr>
          <w:fldChar w:fldCharType="end"/>
        </w:r>
      </w:hyperlink>
    </w:p>
    <w:p w14:paraId="6EC117D7" w14:textId="37531E39" w:rsidR="00BE7282" w:rsidRPr="007B3B90" w:rsidRDefault="00A70E8F" w:rsidP="007B3B90">
      <w:pPr>
        <w:pStyle w:val="TOC1"/>
        <w:rPr>
          <w:rFonts w:asciiTheme="minorHAnsi" w:eastAsiaTheme="minorEastAsia" w:hAnsiTheme="minorHAnsi" w:cstheme="minorBidi"/>
          <w:sz w:val="22"/>
          <w:szCs w:val="22"/>
          <w:lang w:eastAsia="en-GB"/>
        </w:rPr>
      </w:pPr>
      <w:hyperlink w:anchor="_Toc33098116" w:history="1">
        <w:r w:rsidR="00BE7282" w:rsidRPr="007B3B90">
          <w:rPr>
            <w:rStyle w:val="Hyperlink"/>
          </w:rPr>
          <w:t>5.2.</w:t>
        </w:r>
        <w:r w:rsidR="00BE7282" w:rsidRPr="007B3B90">
          <w:rPr>
            <w:rFonts w:asciiTheme="minorHAnsi" w:eastAsiaTheme="minorEastAsia" w:hAnsiTheme="minorHAnsi" w:cstheme="minorBidi"/>
            <w:sz w:val="22"/>
            <w:szCs w:val="22"/>
            <w:lang w:eastAsia="en-GB"/>
          </w:rPr>
          <w:tab/>
        </w:r>
        <w:r w:rsidR="00BE7282" w:rsidRPr="007B3B90">
          <w:rPr>
            <w:rStyle w:val="Hyperlink"/>
          </w:rPr>
          <w:t>REPORTING PROCEDURES</w:t>
        </w:r>
        <w:r w:rsidR="00BE7282" w:rsidRPr="007B3B90">
          <w:rPr>
            <w:webHidden/>
          </w:rPr>
          <w:tab/>
        </w:r>
        <w:r w:rsidR="00BE7282" w:rsidRPr="007B3B90">
          <w:rPr>
            <w:webHidden/>
          </w:rPr>
          <w:fldChar w:fldCharType="begin"/>
        </w:r>
        <w:r w:rsidR="00BE7282" w:rsidRPr="007B3B90">
          <w:rPr>
            <w:webHidden/>
          </w:rPr>
          <w:instrText xml:space="preserve"> PAGEREF _Toc33098116 \h </w:instrText>
        </w:r>
        <w:r w:rsidR="00BE7282" w:rsidRPr="007B3B90">
          <w:rPr>
            <w:webHidden/>
          </w:rPr>
        </w:r>
        <w:r w:rsidR="00BE7282" w:rsidRPr="007B3B90">
          <w:rPr>
            <w:webHidden/>
          </w:rPr>
          <w:fldChar w:fldCharType="separate"/>
        </w:r>
        <w:r w:rsidR="00B06DBF" w:rsidRPr="007B3B90">
          <w:rPr>
            <w:webHidden/>
          </w:rPr>
          <w:t>20</w:t>
        </w:r>
        <w:r w:rsidR="00BE7282" w:rsidRPr="007B3B90">
          <w:rPr>
            <w:webHidden/>
          </w:rPr>
          <w:fldChar w:fldCharType="end"/>
        </w:r>
      </w:hyperlink>
    </w:p>
    <w:p w14:paraId="00BC9197" w14:textId="4BBACA77" w:rsidR="00BE7282" w:rsidRPr="007B3B90" w:rsidRDefault="00A70E8F" w:rsidP="007B3B90">
      <w:pPr>
        <w:pStyle w:val="TOC1"/>
        <w:rPr>
          <w:rFonts w:asciiTheme="minorHAnsi" w:eastAsiaTheme="minorEastAsia" w:hAnsiTheme="minorHAnsi" w:cstheme="minorBidi"/>
          <w:sz w:val="22"/>
          <w:szCs w:val="22"/>
          <w:lang w:eastAsia="en-GB"/>
        </w:rPr>
      </w:pPr>
      <w:hyperlink w:anchor="_Toc33098117" w:history="1">
        <w:r w:rsidR="00BE7282" w:rsidRPr="007B3B90">
          <w:rPr>
            <w:rStyle w:val="Hyperlink"/>
          </w:rPr>
          <w:t>6.</w:t>
        </w:r>
        <w:r w:rsidR="00BE7282" w:rsidRPr="007B3B90">
          <w:rPr>
            <w:rFonts w:asciiTheme="minorHAnsi" w:eastAsiaTheme="minorEastAsia" w:hAnsiTheme="minorHAnsi" w:cstheme="minorBidi"/>
            <w:sz w:val="22"/>
            <w:szCs w:val="22"/>
            <w:lang w:eastAsia="en-GB"/>
          </w:rPr>
          <w:tab/>
        </w:r>
        <w:r w:rsidR="00BE7282" w:rsidRPr="007B3B90">
          <w:rPr>
            <w:rStyle w:val="Hyperlink"/>
          </w:rPr>
          <w:t>ASSESSMENT AND FOLLOW-UP</w:t>
        </w:r>
        <w:r w:rsidR="00BE7282" w:rsidRPr="007B3B90">
          <w:rPr>
            <w:webHidden/>
          </w:rPr>
          <w:tab/>
        </w:r>
        <w:r w:rsidR="00BE7282" w:rsidRPr="007B3B90">
          <w:rPr>
            <w:webHidden/>
          </w:rPr>
          <w:fldChar w:fldCharType="begin"/>
        </w:r>
        <w:r w:rsidR="00BE7282" w:rsidRPr="007B3B90">
          <w:rPr>
            <w:webHidden/>
          </w:rPr>
          <w:instrText xml:space="preserve"> PAGEREF _Toc33098117 \h </w:instrText>
        </w:r>
        <w:r w:rsidR="00BE7282" w:rsidRPr="007B3B90">
          <w:rPr>
            <w:webHidden/>
          </w:rPr>
        </w:r>
        <w:r w:rsidR="00BE7282" w:rsidRPr="007B3B90">
          <w:rPr>
            <w:webHidden/>
          </w:rPr>
          <w:fldChar w:fldCharType="separate"/>
        </w:r>
        <w:r w:rsidR="00B06DBF" w:rsidRPr="007B3B90">
          <w:rPr>
            <w:webHidden/>
          </w:rPr>
          <w:t>21</w:t>
        </w:r>
        <w:r w:rsidR="00BE7282" w:rsidRPr="007B3B90">
          <w:rPr>
            <w:webHidden/>
          </w:rPr>
          <w:fldChar w:fldCharType="end"/>
        </w:r>
      </w:hyperlink>
    </w:p>
    <w:p w14:paraId="5D29F258" w14:textId="1713648A" w:rsidR="00BE7282" w:rsidRPr="007B3B90" w:rsidRDefault="00A70E8F" w:rsidP="007B3B90">
      <w:pPr>
        <w:pStyle w:val="TOC1"/>
        <w:rPr>
          <w:rFonts w:asciiTheme="minorHAnsi" w:eastAsiaTheme="minorEastAsia" w:hAnsiTheme="minorHAnsi" w:cstheme="minorBidi"/>
          <w:sz w:val="22"/>
          <w:szCs w:val="22"/>
          <w:lang w:eastAsia="en-GB"/>
        </w:rPr>
      </w:pPr>
      <w:hyperlink w:anchor="_Toc33098118" w:history="1">
        <w:r w:rsidR="00BE7282" w:rsidRPr="007B3B90">
          <w:rPr>
            <w:rStyle w:val="Hyperlink"/>
          </w:rPr>
          <w:t>7.</w:t>
        </w:r>
        <w:r w:rsidR="00BE7282" w:rsidRPr="007B3B90">
          <w:rPr>
            <w:rFonts w:asciiTheme="minorHAnsi" w:eastAsiaTheme="minorEastAsia" w:hAnsiTheme="minorHAnsi" w:cstheme="minorBidi"/>
            <w:sz w:val="22"/>
            <w:szCs w:val="22"/>
            <w:lang w:eastAsia="en-GB"/>
          </w:rPr>
          <w:tab/>
        </w:r>
        <w:r w:rsidR="00BE7282" w:rsidRPr="007B3B90">
          <w:rPr>
            <w:rStyle w:val="Hyperlink"/>
          </w:rPr>
          <w:t>STATISTICS AND DATA ANALYSIS</w:t>
        </w:r>
        <w:r w:rsidR="00BE7282" w:rsidRPr="007B3B90">
          <w:rPr>
            <w:webHidden/>
          </w:rPr>
          <w:tab/>
        </w:r>
        <w:r w:rsidR="00BE7282" w:rsidRPr="007B3B90">
          <w:rPr>
            <w:webHidden/>
          </w:rPr>
          <w:fldChar w:fldCharType="begin"/>
        </w:r>
        <w:r w:rsidR="00BE7282" w:rsidRPr="007B3B90">
          <w:rPr>
            <w:webHidden/>
          </w:rPr>
          <w:instrText xml:space="preserve"> PAGEREF _Toc33098118 \h </w:instrText>
        </w:r>
        <w:r w:rsidR="00BE7282" w:rsidRPr="007B3B90">
          <w:rPr>
            <w:webHidden/>
          </w:rPr>
        </w:r>
        <w:r w:rsidR="00BE7282" w:rsidRPr="007B3B90">
          <w:rPr>
            <w:webHidden/>
          </w:rPr>
          <w:fldChar w:fldCharType="separate"/>
        </w:r>
        <w:r w:rsidR="00B06DBF" w:rsidRPr="007B3B90">
          <w:rPr>
            <w:webHidden/>
          </w:rPr>
          <w:t>22</w:t>
        </w:r>
        <w:r w:rsidR="00BE7282" w:rsidRPr="007B3B90">
          <w:rPr>
            <w:webHidden/>
          </w:rPr>
          <w:fldChar w:fldCharType="end"/>
        </w:r>
      </w:hyperlink>
    </w:p>
    <w:p w14:paraId="2D43056B" w14:textId="785E54D2" w:rsidR="00BE7282" w:rsidRPr="007B3B90" w:rsidRDefault="00A70E8F" w:rsidP="007B3B90">
      <w:pPr>
        <w:pStyle w:val="TOC1"/>
        <w:rPr>
          <w:rFonts w:asciiTheme="minorHAnsi" w:eastAsiaTheme="minorEastAsia" w:hAnsiTheme="minorHAnsi" w:cstheme="minorBidi"/>
          <w:sz w:val="22"/>
          <w:szCs w:val="22"/>
          <w:lang w:eastAsia="en-GB"/>
        </w:rPr>
      </w:pPr>
      <w:hyperlink w:anchor="_Toc33098119" w:history="1">
        <w:r w:rsidR="00BE7282" w:rsidRPr="007B3B90">
          <w:rPr>
            <w:rStyle w:val="Hyperlink"/>
          </w:rPr>
          <w:t>8.</w:t>
        </w:r>
        <w:r w:rsidR="00BE7282" w:rsidRPr="007B3B90">
          <w:rPr>
            <w:rFonts w:asciiTheme="minorHAnsi" w:eastAsiaTheme="minorEastAsia" w:hAnsiTheme="minorHAnsi" w:cstheme="minorBidi"/>
            <w:sz w:val="22"/>
            <w:szCs w:val="22"/>
            <w:lang w:eastAsia="en-GB"/>
          </w:rPr>
          <w:tab/>
        </w:r>
        <w:r w:rsidR="00BE7282" w:rsidRPr="007B3B90">
          <w:rPr>
            <w:rStyle w:val="Hyperlink"/>
          </w:rPr>
          <w:t>REGULATORY ISSUES</w:t>
        </w:r>
        <w:r w:rsidR="00BE7282" w:rsidRPr="007B3B90">
          <w:rPr>
            <w:webHidden/>
          </w:rPr>
          <w:tab/>
        </w:r>
        <w:r w:rsidR="00BE7282" w:rsidRPr="007B3B90">
          <w:rPr>
            <w:webHidden/>
          </w:rPr>
          <w:fldChar w:fldCharType="begin"/>
        </w:r>
        <w:r w:rsidR="00BE7282" w:rsidRPr="007B3B90">
          <w:rPr>
            <w:webHidden/>
          </w:rPr>
          <w:instrText xml:space="preserve"> PAGEREF _Toc33098119 \h </w:instrText>
        </w:r>
        <w:r w:rsidR="00BE7282" w:rsidRPr="007B3B90">
          <w:rPr>
            <w:webHidden/>
          </w:rPr>
        </w:r>
        <w:r w:rsidR="00BE7282" w:rsidRPr="007B3B90">
          <w:rPr>
            <w:webHidden/>
          </w:rPr>
          <w:fldChar w:fldCharType="separate"/>
        </w:r>
        <w:r w:rsidR="00B06DBF" w:rsidRPr="007B3B90">
          <w:rPr>
            <w:webHidden/>
          </w:rPr>
          <w:t>23</w:t>
        </w:r>
        <w:r w:rsidR="00BE7282" w:rsidRPr="007B3B90">
          <w:rPr>
            <w:webHidden/>
          </w:rPr>
          <w:fldChar w:fldCharType="end"/>
        </w:r>
      </w:hyperlink>
    </w:p>
    <w:p w14:paraId="7F33AAF1" w14:textId="64149793" w:rsidR="00BE7282" w:rsidRPr="007B3B90" w:rsidRDefault="00A70E8F" w:rsidP="007B3B90">
      <w:pPr>
        <w:pStyle w:val="TOC1"/>
        <w:rPr>
          <w:rFonts w:asciiTheme="minorHAnsi" w:eastAsiaTheme="minorEastAsia" w:hAnsiTheme="minorHAnsi" w:cstheme="minorBidi"/>
          <w:sz w:val="22"/>
          <w:szCs w:val="22"/>
          <w:lang w:eastAsia="en-GB"/>
        </w:rPr>
      </w:pPr>
      <w:hyperlink w:anchor="_Toc33098120" w:history="1">
        <w:r w:rsidR="00BE7282" w:rsidRPr="007B3B90">
          <w:rPr>
            <w:rStyle w:val="Hyperlink"/>
          </w:rPr>
          <w:t>8.1.</w:t>
        </w:r>
        <w:r w:rsidR="00BE7282" w:rsidRPr="007B3B90">
          <w:rPr>
            <w:rFonts w:asciiTheme="minorHAnsi" w:eastAsiaTheme="minorEastAsia" w:hAnsiTheme="minorHAnsi" w:cstheme="minorBidi"/>
            <w:sz w:val="22"/>
            <w:szCs w:val="22"/>
            <w:lang w:eastAsia="en-GB"/>
          </w:rPr>
          <w:tab/>
        </w:r>
        <w:r w:rsidR="00BE7282" w:rsidRPr="007B3B90">
          <w:rPr>
            <w:rStyle w:val="Hyperlink"/>
          </w:rPr>
          <w:t>ETHICS APPROVAL</w:t>
        </w:r>
        <w:r w:rsidR="00BE7282" w:rsidRPr="007B3B90">
          <w:rPr>
            <w:webHidden/>
          </w:rPr>
          <w:tab/>
        </w:r>
        <w:r w:rsidR="00BE7282" w:rsidRPr="007B3B90">
          <w:rPr>
            <w:webHidden/>
          </w:rPr>
          <w:fldChar w:fldCharType="begin"/>
        </w:r>
        <w:r w:rsidR="00BE7282" w:rsidRPr="007B3B90">
          <w:rPr>
            <w:webHidden/>
          </w:rPr>
          <w:instrText xml:space="preserve"> PAGEREF _Toc33098120 \h </w:instrText>
        </w:r>
        <w:r w:rsidR="00BE7282" w:rsidRPr="007B3B90">
          <w:rPr>
            <w:webHidden/>
          </w:rPr>
        </w:r>
        <w:r w:rsidR="00BE7282" w:rsidRPr="007B3B90">
          <w:rPr>
            <w:webHidden/>
          </w:rPr>
          <w:fldChar w:fldCharType="separate"/>
        </w:r>
        <w:r w:rsidR="00B06DBF" w:rsidRPr="007B3B90">
          <w:rPr>
            <w:webHidden/>
          </w:rPr>
          <w:t>23</w:t>
        </w:r>
        <w:r w:rsidR="00BE7282" w:rsidRPr="007B3B90">
          <w:rPr>
            <w:webHidden/>
          </w:rPr>
          <w:fldChar w:fldCharType="end"/>
        </w:r>
      </w:hyperlink>
    </w:p>
    <w:p w14:paraId="7C31CDEB" w14:textId="15AABE3D" w:rsidR="00BE7282" w:rsidRPr="007B3B90" w:rsidRDefault="00A70E8F" w:rsidP="007B3B90">
      <w:pPr>
        <w:pStyle w:val="TOC1"/>
        <w:rPr>
          <w:rFonts w:asciiTheme="minorHAnsi" w:eastAsiaTheme="minorEastAsia" w:hAnsiTheme="minorHAnsi" w:cstheme="minorBidi"/>
          <w:sz w:val="22"/>
          <w:szCs w:val="22"/>
          <w:lang w:eastAsia="en-GB"/>
        </w:rPr>
      </w:pPr>
      <w:hyperlink w:anchor="_Toc33098121" w:history="1">
        <w:r w:rsidR="00BE7282" w:rsidRPr="007B3B90">
          <w:rPr>
            <w:rStyle w:val="Hyperlink"/>
          </w:rPr>
          <w:t>8.2.</w:t>
        </w:r>
        <w:r w:rsidR="00BE7282" w:rsidRPr="007B3B90">
          <w:rPr>
            <w:rFonts w:asciiTheme="minorHAnsi" w:eastAsiaTheme="minorEastAsia" w:hAnsiTheme="minorHAnsi" w:cstheme="minorBidi"/>
            <w:sz w:val="22"/>
            <w:szCs w:val="22"/>
            <w:lang w:eastAsia="en-GB"/>
          </w:rPr>
          <w:tab/>
        </w:r>
        <w:r w:rsidR="00BE7282" w:rsidRPr="007B3B90">
          <w:rPr>
            <w:rStyle w:val="Hyperlink"/>
          </w:rPr>
          <w:t>CONSENT</w:t>
        </w:r>
        <w:r w:rsidR="00BE7282" w:rsidRPr="007B3B90">
          <w:rPr>
            <w:webHidden/>
          </w:rPr>
          <w:tab/>
        </w:r>
        <w:r w:rsidR="00BE7282" w:rsidRPr="007B3B90">
          <w:rPr>
            <w:webHidden/>
          </w:rPr>
          <w:fldChar w:fldCharType="begin"/>
        </w:r>
        <w:r w:rsidR="00BE7282" w:rsidRPr="007B3B90">
          <w:rPr>
            <w:webHidden/>
          </w:rPr>
          <w:instrText xml:space="preserve"> PAGEREF _Toc33098121 \h </w:instrText>
        </w:r>
        <w:r w:rsidR="00BE7282" w:rsidRPr="007B3B90">
          <w:rPr>
            <w:webHidden/>
          </w:rPr>
        </w:r>
        <w:r w:rsidR="00BE7282" w:rsidRPr="007B3B90">
          <w:rPr>
            <w:webHidden/>
          </w:rPr>
          <w:fldChar w:fldCharType="separate"/>
        </w:r>
        <w:r w:rsidR="00B06DBF" w:rsidRPr="007B3B90">
          <w:rPr>
            <w:webHidden/>
          </w:rPr>
          <w:t>24</w:t>
        </w:r>
        <w:r w:rsidR="00BE7282" w:rsidRPr="007B3B90">
          <w:rPr>
            <w:webHidden/>
          </w:rPr>
          <w:fldChar w:fldCharType="end"/>
        </w:r>
      </w:hyperlink>
    </w:p>
    <w:p w14:paraId="1DB59FA4" w14:textId="0772786E" w:rsidR="00BE7282" w:rsidRPr="007B3B90" w:rsidRDefault="00A70E8F" w:rsidP="007B3B90">
      <w:pPr>
        <w:pStyle w:val="TOC1"/>
        <w:rPr>
          <w:rFonts w:asciiTheme="minorHAnsi" w:eastAsiaTheme="minorEastAsia" w:hAnsiTheme="minorHAnsi" w:cstheme="minorBidi"/>
          <w:sz w:val="22"/>
          <w:szCs w:val="22"/>
          <w:lang w:eastAsia="en-GB"/>
        </w:rPr>
      </w:pPr>
      <w:hyperlink w:anchor="_Toc33098122" w:history="1">
        <w:r w:rsidR="00BE7282" w:rsidRPr="007B3B90">
          <w:rPr>
            <w:rStyle w:val="Hyperlink"/>
          </w:rPr>
          <w:t>8.3.</w:t>
        </w:r>
        <w:r w:rsidR="00BE7282" w:rsidRPr="007B3B90">
          <w:rPr>
            <w:rFonts w:asciiTheme="minorHAnsi" w:eastAsiaTheme="minorEastAsia" w:hAnsiTheme="minorHAnsi" w:cstheme="minorBidi"/>
            <w:sz w:val="22"/>
            <w:szCs w:val="22"/>
            <w:lang w:eastAsia="en-GB"/>
          </w:rPr>
          <w:tab/>
        </w:r>
        <w:r w:rsidR="00BE7282" w:rsidRPr="007B3B90">
          <w:rPr>
            <w:rStyle w:val="Hyperlink"/>
          </w:rPr>
          <w:t>CONFIDENTIALITY</w:t>
        </w:r>
        <w:r w:rsidR="00BE7282" w:rsidRPr="007B3B90">
          <w:rPr>
            <w:webHidden/>
          </w:rPr>
          <w:tab/>
        </w:r>
        <w:r w:rsidR="00BE7282" w:rsidRPr="007B3B90">
          <w:rPr>
            <w:webHidden/>
          </w:rPr>
          <w:fldChar w:fldCharType="begin"/>
        </w:r>
        <w:r w:rsidR="00BE7282" w:rsidRPr="007B3B90">
          <w:rPr>
            <w:webHidden/>
          </w:rPr>
          <w:instrText xml:space="preserve"> PAGEREF _Toc33098122 \h </w:instrText>
        </w:r>
        <w:r w:rsidR="00BE7282" w:rsidRPr="007B3B90">
          <w:rPr>
            <w:webHidden/>
          </w:rPr>
        </w:r>
        <w:r w:rsidR="00BE7282" w:rsidRPr="007B3B90">
          <w:rPr>
            <w:webHidden/>
          </w:rPr>
          <w:fldChar w:fldCharType="separate"/>
        </w:r>
        <w:r w:rsidR="00B06DBF" w:rsidRPr="007B3B90">
          <w:rPr>
            <w:webHidden/>
          </w:rPr>
          <w:t>24</w:t>
        </w:r>
        <w:r w:rsidR="00BE7282" w:rsidRPr="007B3B90">
          <w:rPr>
            <w:webHidden/>
          </w:rPr>
          <w:fldChar w:fldCharType="end"/>
        </w:r>
      </w:hyperlink>
    </w:p>
    <w:p w14:paraId="5BBA2660" w14:textId="2AA8E233" w:rsidR="00BE7282" w:rsidRPr="007B3B90" w:rsidRDefault="00A70E8F" w:rsidP="007B3B90">
      <w:pPr>
        <w:pStyle w:val="TOC1"/>
        <w:rPr>
          <w:rFonts w:asciiTheme="minorHAnsi" w:eastAsiaTheme="minorEastAsia" w:hAnsiTheme="minorHAnsi" w:cstheme="minorBidi"/>
          <w:sz w:val="22"/>
          <w:szCs w:val="22"/>
          <w:lang w:eastAsia="en-GB"/>
        </w:rPr>
      </w:pPr>
      <w:hyperlink w:anchor="_Toc33098123" w:history="1">
        <w:r w:rsidR="00BE7282" w:rsidRPr="007B3B90">
          <w:rPr>
            <w:rStyle w:val="Hyperlink"/>
          </w:rPr>
          <w:t>8.4.</w:t>
        </w:r>
        <w:r w:rsidR="00BE7282" w:rsidRPr="007B3B90">
          <w:rPr>
            <w:rFonts w:asciiTheme="minorHAnsi" w:eastAsiaTheme="minorEastAsia" w:hAnsiTheme="minorHAnsi" w:cstheme="minorBidi"/>
            <w:sz w:val="22"/>
            <w:szCs w:val="22"/>
            <w:lang w:eastAsia="en-GB"/>
          </w:rPr>
          <w:tab/>
        </w:r>
        <w:r w:rsidR="00BE7282" w:rsidRPr="007B3B90">
          <w:rPr>
            <w:rStyle w:val="Hyperlink"/>
          </w:rPr>
          <w:t>INDEMNITY</w:t>
        </w:r>
        <w:r w:rsidR="00BE7282" w:rsidRPr="007B3B90">
          <w:rPr>
            <w:webHidden/>
          </w:rPr>
          <w:tab/>
        </w:r>
        <w:r w:rsidR="00BE7282" w:rsidRPr="007B3B90">
          <w:rPr>
            <w:webHidden/>
          </w:rPr>
          <w:fldChar w:fldCharType="begin"/>
        </w:r>
        <w:r w:rsidR="00BE7282" w:rsidRPr="007B3B90">
          <w:rPr>
            <w:webHidden/>
          </w:rPr>
          <w:instrText xml:space="preserve"> PAGEREF _Toc33098123 \h </w:instrText>
        </w:r>
        <w:r w:rsidR="00BE7282" w:rsidRPr="007B3B90">
          <w:rPr>
            <w:webHidden/>
          </w:rPr>
        </w:r>
        <w:r w:rsidR="00BE7282" w:rsidRPr="007B3B90">
          <w:rPr>
            <w:webHidden/>
          </w:rPr>
          <w:fldChar w:fldCharType="separate"/>
        </w:r>
        <w:r w:rsidR="00B06DBF" w:rsidRPr="007B3B90">
          <w:rPr>
            <w:webHidden/>
          </w:rPr>
          <w:t>24</w:t>
        </w:r>
        <w:r w:rsidR="00BE7282" w:rsidRPr="007B3B90">
          <w:rPr>
            <w:webHidden/>
          </w:rPr>
          <w:fldChar w:fldCharType="end"/>
        </w:r>
      </w:hyperlink>
    </w:p>
    <w:p w14:paraId="0F5F1BE0" w14:textId="4760C392" w:rsidR="00BE7282" w:rsidRPr="007B3B90" w:rsidRDefault="00A70E8F" w:rsidP="007B3B90">
      <w:pPr>
        <w:pStyle w:val="TOC1"/>
        <w:rPr>
          <w:rFonts w:asciiTheme="minorHAnsi" w:eastAsiaTheme="minorEastAsia" w:hAnsiTheme="minorHAnsi" w:cstheme="minorBidi"/>
          <w:sz w:val="22"/>
          <w:szCs w:val="22"/>
          <w:lang w:eastAsia="en-GB"/>
        </w:rPr>
      </w:pPr>
      <w:hyperlink w:anchor="_Toc33098124" w:history="1">
        <w:r w:rsidR="00BE7282" w:rsidRPr="007B3B90">
          <w:rPr>
            <w:rStyle w:val="Hyperlink"/>
          </w:rPr>
          <w:t>8.5.</w:t>
        </w:r>
        <w:r w:rsidR="00BE7282" w:rsidRPr="007B3B90">
          <w:rPr>
            <w:rFonts w:asciiTheme="minorHAnsi" w:eastAsiaTheme="minorEastAsia" w:hAnsiTheme="minorHAnsi" w:cstheme="minorBidi"/>
            <w:sz w:val="22"/>
            <w:szCs w:val="22"/>
            <w:lang w:eastAsia="en-GB"/>
          </w:rPr>
          <w:tab/>
        </w:r>
        <w:r w:rsidR="00BE7282" w:rsidRPr="007B3B90">
          <w:rPr>
            <w:rStyle w:val="Hyperlink"/>
          </w:rPr>
          <w:t>SPONSOR</w:t>
        </w:r>
        <w:r w:rsidR="00BE7282" w:rsidRPr="007B3B90">
          <w:rPr>
            <w:webHidden/>
          </w:rPr>
          <w:tab/>
        </w:r>
        <w:r w:rsidR="00BE7282" w:rsidRPr="007B3B90">
          <w:rPr>
            <w:webHidden/>
          </w:rPr>
          <w:fldChar w:fldCharType="begin"/>
        </w:r>
        <w:r w:rsidR="00BE7282" w:rsidRPr="007B3B90">
          <w:rPr>
            <w:webHidden/>
          </w:rPr>
          <w:instrText xml:space="preserve"> PAGEREF _Toc33098124 \h </w:instrText>
        </w:r>
        <w:r w:rsidR="00BE7282" w:rsidRPr="007B3B90">
          <w:rPr>
            <w:webHidden/>
          </w:rPr>
        </w:r>
        <w:r w:rsidR="00BE7282" w:rsidRPr="007B3B90">
          <w:rPr>
            <w:webHidden/>
          </w:rPr>
          <w:fldChar w:fldCharType="separate"/>
        </w:r>
        <w:r w:rsidR="00B06DBF" w:rsidRPr="007B3B90">
          <w:rPr>
            <w:webHidden/>
          </w:rPr>
          <w:t>24</w:t>
        </w:r>
        <w:r w:rsidR="00BE7282" w:rsidRPr="007B3B90">
          <w:rPr>
            <w:webHidden/>
          </w:rPr>
          <w:fldChar w:fldCharType="end"/>
        </w:r>
      </w:hyperlink>
    </w:p>
    <w:p w14:paraId="4EBD2289" w14:textId="16F08F8F" w:rsidR="00BE7282" w:rsidRPr="007B3B90" w:rsidRDefault="00A70E8F" w:rsidP="007B3B90">
      <w:pPr>
        <w:pStyle w:val="TOC1"/>
        <w:rPr>
          <w:rFonts w:asciiTheme="minorHAnsi" w:eastAsiaTheme="minorEastAsia" w:hAnsiTheme="minorHAnsi" w:cstheme="minorBidi"/>
          <w:sz w:val="22"/>
          <w:szCs w:val="22"/>
          <w:lang w:eastAsia="en-GB"/>
        </w:rPr>
      </w:pPr>
      <w:hyperlink w:anchor="_Toc33098125" w:history="1">
        <w:r w:rsidR="00BE7282" w:rsidRPr="007B3B90">
          <w:rPr>
            <w:rStyle w:val="Hyperlink"/>
          </w:rPr>
          <w:t>8.6.</w:t>
        </w:r>
        <w:r w:rsidR="00BE7282" w:rsidRPr="007B3B90">
          <w:rPr>
            <w:rFonts w:asciiTheme="minorHAnsi" w:eastAsiaTheme="minorEastAsia" w:hAnsiTheme="minorHAnsi" w:cstheme="minorBidi"/>
            <w:sz w:val="22"/>
            <w:szCs w:val="22"/>
            <w:lang w:eastAsia="en-GB"/>
          </w:rPr>
          <w:tab/>
        </w:r>
        <w:r w:rsidR="00BE7282" w:rsidRPr="007B3B90">
          <w:rPr>
            <w:rStyle w:val="Hyperlink"/>
          </w:rPr>
          <w:t>FUNDING</w:t>
        </w:r>
        <w:r w:rsidR="00BE7282" w:rsidRPr="007B3B90">
          <w:rPr>
            <w:webHidden/>
          </w:rPr>
          <w:tab/>
        </w:r>
        <w:r w:rsidR="00BE7282" w:rsidRPr="007B3B90">
          <w:rPr>
            <w:webHidden/>
          </w:rPr>
          <w:fldChar w:fldCharType="begin"/>
        </w:r>
        <w:r w:rsidR="00BE7282" w:rsidRPr="007B3B90">
          <w:rPr>
            <w:webHidden/>
          </w:rPr>
          <w:instrText xml:space="preserve"> PAGEREF _Toc33098125 \h </w:instrText>
        </w:r>
        <w:r w:rsidR="00BE7282" w:rsidRPr="007B3B90">
          <w:rPr>
            <w:webHidden/>
          </w:rPr>
        </w:r>
        <w:r w:rsidR="00BE7282" w:rsidRPr="007B3B90">
          <w:rPr>
            <w:webHidden/>
          </w:rPr>
          <w:fldChar w:fldCharType="separate"/>
        </w:r>
        <w:r w:rsidR="00B06DBF" w:rsidRPr="007B3B90">
          <w:rPr>
            <w:webHidden/>
          </w:rPr>
          <w:t>24</w:t>
        </w:r>
        <w:r w:rsidR="00BE7282" w:rsidRPr="007B3B90">
          <w:rPr>
            <w:webHidden/>
          </w:rPr>
          <w:fldChar w:fldCharType="end"/>
        </w:r>
      </w:hyperlink>
    </w:p>
    <w:p w14:paraId="48E2CA85" w14:textId="568E77BE" w:rsidR="00BE7282" w:rsidRPr="007B3B90" w:rsidRDefault="00A70E8F" w:rsidP="007B3B90">
      <w:pPr>
        <w:pStyle w:val="TOC1"/>
        <w:rPr>
          <w:rFonts w:asciiTheme="minorHAnsi" w:eastAsiaTheme="minorEastAsia" w:hAnsiTheme="minorHAnsi" w:cstheme="minorBidi"/>
          <w:sz w:val="22"/>
          <w:szCs w:val="22"/>
          <w:lang w:eastAsia="en-GB"/>
        </w:rPr>
      </w:pPr>
      <w:hyperlink w:anchor="_Toc33098126" w:history="1">
        <w:r w:rsidR="00BE7282" w:rsidRPr="007B3B90">
          <w:rPr>
            <w:rStyle w:val="Hyperlink"/>
          </w:rPr>
          <w:t>8.7.</w:t>
        </w:r>
        <w:r w:rsidR="00BE7282" w:rsidRPr="007B3B90">
          <w:rPr>
            <w:rFonts w:asciiTheme="minorHAnsi" w:eastAsiaTheme="minorEastAsia" w:hAnsiTheme="minorHAnsi" w:cstheme="minorBidi"/>
            <w:sz w:val="22"/>
            <w:szCs w:val="22"/>
            <w:lang w:eastAsia="en-GB"/>
          </w:rPr>
          <w:tab/>
        </w:r>
        <w:r w:rsidR="00BE7282" w:rsidRPr="007B3B90">
          <w:rPr>
            <w:rStyle w:val="Hyperlink"/>
          </w:rPr>
          <w:t>AUDITS</w:t>
        </w:r>
        <w:r w:rsidR="00BE7282" w:rsidRPr="007B3B90">
          <w:rPr>
            <w:webHidden/>
          </w:rPr>
          <w:tab/>
        </w:r>
        <w:r w:rsidR="00BE7282" w:rsidRPr="007B3B90">
          <w:rPr>
            <w:webHidden/>
          </w:rPr>
          <w:fldChar w:fldCharType="begin"/>
        </w:r>
        <w:r w:rsidR="00BE7282" w:rsidRPr="007B3B90">
          <w:rPr>
            <w:webHidden/>
          </w:rPr>
          <w:instrText xml:space="preserve"> PAGEREF _Toc33098126 \h </w:instrText>
        </w:r>
        <w:r w:rsidR="00BE7282" w:rsidRPr="007B3B90">
          <w:rPr>
            <w:webHidden/>
          </w:rPr>
        </w:r>
        <w:r w:rsidR="00BE7282" w:rsidRPr="007B3B90">
          <w:rPr>
            <w:webHidden/>
          </w:rPr>
          <w:fldChar w:fldCharType="separate"/>
        </w:r>
        <w:r w:rsidR="00B06DBF" w:rsidRPr="007B3B90">
          <w:rPr>
            <w:webHidden/>
          </w:rPr>
          <w:t>25</w:t>
        </w:r>
        <w:r w:rsidR="00BE7282" w:rsidRPr="007B3B90">
          <w:rPr>
            <w:webHidden/>
          </w:rPr>
          <w:fldChar w:fldCharType="end"/>
        </w:r>
      </w:hyperlink>
    </w:p>
    <w:p w14:paraId="3F80279C" w14:textId="06BD185A" w:rsidR="00BE7282" w:rsidRPr="007B3B90" w:rsidRDefault="00A70E8F" w:rsidP="007B3B90">
      <w:pPr>
        <w:pStyle w:val="TOC1"/>
        <w:rPr>
          <w:rFonts w:asciiTheme="minorHAnsi" w:eastAsiaTheme="minorEastAsia" w:hAnsiTheme="minorHAnsi" w:cstheme="minorBidi"/>
          <w:sz w:val="22"/>
          <w:szCs w:val="22"/>
          <w:lang w:eastAsia="en-GB"/>
        </w:rPr>
      </w:pPr>
      <w:hyperlink w:anchor="_Toc33098127" w:history="1">
        <w:r w:rsidR="00BE7282" w:rsidRPr="007B3B90">
          <w:rPr>
            <w:rStyle w:val="Hyperlink"/>
          </w:rPr>
          <w:t>9.</w:t>
        </w:r>
        <w:r w:rsidR="00BE7282" w:rsidRPr="007B3B90">
          <w:rPr>
            <w:rFonts w:asciiTheme="minorHAnsi" w:eastAsiaTheme="minorEastAsia" w:hAnsiTheme="minorHAnsi" w:cstheme="minorBidi"/>
            <w:sz w:val="22"/>
            <w:szCs w:val="22"/>
            <w:lang w:eastAsia="en-GB"/>
          </w:rPr>
          <w:tab/>
        </w:r>
        <w:r w:rsidR="00BE7282" w:rsidRPr="007B3B90">
          <w:rPr>
            <w:rStyle w:val="Hyperlink"/>
          </w:rPr>
          <w:t>STUDY MANAGEMENT</w:t>
        </w:r>
        <w:r w:rsidR="00BE7282" w:rsidRPr="007B3B90">
          <w:rPr>
            <w:webHidden/>
          </w:rPr>
          <w:tab/>
        </w:r>
        <w:r w:rsidR="00BE7282" w:rsidRPr="007B3B90">
          <w:rPr>
            <w:webHidden/>
          </w:rPr>
          <w:fldChar w:fldCharType="begin"/>
        </w:r>
        <w:r w:rsidR="00BE7282" w:rsidRPr="007B3B90">
          <w:rPr>
            <w:webHidden/>
          </w:rPr>
          <w:instrText xml:space="preserve"> PAGEREF _Toc33098127 \h </w:instrText>
        </w:r>
        <w:r w:rsidR="00BE7282" w:rsidRPr="007B3B90">
          <w:rPr>
            <w:webHidden/>
          </w:rPr>
        </w:r>
        <w:r w:rsidR="00BE7282" w:rsidRPr="007B3B90">
          <w:rPr>
            <w:webHidden/>
          </w:rPr>
          <w:fldChar w:fldCharType="separate"/>
        </w:r>
        <w:r w:rsidR="00B06DBF" w:rsidRPr="007B3B90">
          <w:rPr>
            <w:webHidden/>
          </w:rPr>
          <w:t>25</w:t>
        </w:r>
        <w:r w:rsidR="00BE7282" w:rsidRPr="007B3B90">
          <w:rPr>
            <w:webHidden/>
          </w:rPr>
          <w:fldChar w:fldCharType="end"/>
        </w:r>
      </w:hyperlink>
    </w:p>
    <w:p w14:paraId="327C569A" w14:textId="229660CA" w:rsidR="00BE7282" w:rsidRPr="007B3B90" w:rsidRDefault="00A70E8F" w:rsidP="007B3B90">
      <w:pPr>
        <w:pStyle w:val="TOC1"/>
        <w:rPr>
          <w:rFonts w:asciiTheme="minorHAnsi" w:eastAsiaTheme="minorEastAsia" w:hAnsiTheme="minorHAnsi" w:cstheme="minorBidi"/>
          <w:sz w:val="22"/>
          <w:szCs w:val="22"/>
          <w:lang w:eastAsia="en-GB"/>
        </w:rPr>
      </w:pPr>
      <w:hyperlink w:anchor="_Toc33098128" w:history="1">
        <w:r w:rsidR="00BE7282" w:rsidRPr="007B3B90">
          <w:rPr>
            <w:rStyle w:val="Hyperlink"/>
          </w:rPr>
          <w:t>10.</w:t>
        </w:r>
        <w:r w:rsidR="00BE7282" w:rsidRPr="007B3B90">
          <w:rPr>
            <w:rFonts w:asciiTheme="minorHAnsi" w:eastAsiaTheme="minorEastAsia" w:hAnsiTheme="minorHAnsi" w:cstheme="minorBidi"/>
            <w:sz w:val="22"/>
            <w:szCs w:val="22"/>
            <w:lang w:eastAsia="en-GB"/>
          </w:rPr>
          <w:tab/>
        </w:r>
        <w:r w:rsidR="00BE7282" w:rsidRPr="007B3B90">
          <w:rPr>
            <w:rStyle w:val="Hyperlink"/>
          </w:rPr>
          <w:t>PUBLICATION POLICY</w:t>
        </w:r>
        <w:r w:rsidR="00BE7282" w:rsidRPr="007B3B90">
          <w:rPr>
            <w:webHidden/>
          </w:rPr>
          <w:tab/>
        </w:r>
        <w:r w:rsidR="00BE7282" w:rsidRPr="007B3B90">
          <w:rPr>
            <w:webHidden/>
          </w:rPr>
          <w:fldChar w:fldCharType="begin"/>
        </w:r>
        <w:r w:rsidR="00BE7282" w:rsidRPr="007B3B90">
          <w:rPr>
            <w:webHidden/>
          </w:rPr>
          <w:instrText xml:space="preserve"> PAGEREF _Toc33098128 \h </w:instrText>
        </w:r>
        <w:r w:rsidR="00BE7282" w:rsidRPr="007B3B90">
          <w:rPr>
            <w:webHidden/>
          </w:rPr>
        </w:r>
        <w:r w:rsidR="00BE7282" w:rsidRPr="007B3B90">
          <w:rPr>
            <w:webHidden/>
          </w:rPr>
          <w:fldChar w:fldCharType="separate"/>
        </w:r>
        <w:r w:rsidR="00B06DBF" w:rsidRPr="007B3B90">
          <w:rPr>
            <w:webHidden/>
          </w:rPr>
          <w:t>25</w:t>
        </w:r>
        <w:r w:rsidR="00BE7282" w:rsidRPr="007B3B90">
          <w:rPr>
            <w:webHidden/>
          </w:rPr>
          <w:fldChar w:fldCharType="end"/>
        </w:r>
      </w:hyperlink>
    </w:p>
    <w:p w14:paraId="67131DFF" w14:textId="2ABE7CBD" w:rsidR="00BE7282" w:rsidRPr="007B3B90" w:rsidRDefault="00A70E8F" w:rsidP="007B3B90">
      <w:pPr>
        <w:pStyle w:val="TOC1"/>
        <w:rPr>
          <w:rFonts w:asciiTheme="minorHAnsi" w:eastAsiaTheme="minorEastAsia" w:hAnsiTheme="minorHAnsi" w:cstheme="minorBidi"/>
          <w:sz w:val="22"/>
          <w:szCs w:val="22"/>
          <w:lang w:eastAsia="en-GB"/>
        </w:rPr>
      </w:pPr>
      <w:hyperlink w:anchor="_Toc33098129" w:history="1">
        <w:r w:rsidR="00BE7282" w:rsidRPr="007B3B90">
          <w:rPr>
            <w:rStyle w:val="Hyperlink"/>
          </w:rPr>
          <w:t>11.</w:t>
        </w:r>
        <w:r w:rsidR="00BE7282" w:rsidRPr="007B3B90">
          <w:rPr>
            <w:rFonts w:asciiTheme="minorHAnsi" w:eastAsiaTheme="minorEastAsia" w:hAnsiTheme="minorHAnsi" w:cstheme="minorBidi"/>
            <w:sz w:val="22"/>
            <w:szCs w:val="22"/>
            <w:lang w:eastAsia="en-GB"/>
          </w:rPr>
          <w:tab/>
        </w:r>
        <w:r w:rsidR="00BE7282" w:rsidRPr="007B3B90">
          <w:rPr>
            <w:rStyle w:val="Hyperlink"/>
          </w:rPr>
          <w:t>REFERENCES</w:t>
        </w:r>
        <w:r w:rsidR="00BE7282" w:rsidRPr="007B3B90">
          <w:rPr>
            <w:webHidden/>
          </w:rPr>
          <w:tab/>
        </w:r>
        <w:r w:rsidR="00BE7282" w:rsidRPr="007B3B90">
          <w:rPr>
            <w:webHidden/>
          </w:rPr>
          <w:fldChar w:fldCharType="begin"/>
        </w:r>
        <w:r w:rsidR="00BE7282" w:rsidRPr="007B3B90">
          <w:rPr>
            <w:webHidden/>
          </w:rPr>
          <w:instrText xml:space="preserve"> PAGEREF _Toc33098129 \h </w:instrText>
        </w:r>
        <w:r w:rsidR="00BE7282" w:rsidRPr="007B3B90">
          <w:rPr>
            <w:webHidden/>
          </w:rPr>
        </w:r>
        <w:r w:rsidR="00BE7282" w:rsidRPr="007B3B90">
          <w:rPr>
            <w:webHidden/>
          </w:rPr>
          <w:fldChar w:fldCharType="separate"/>
        </w:r>
        <w:r w:rsidR="00B06DBF" w:rsidRPr="007B3B90">
          <w:rPr>
            <w:webHidden/>
          </w:rPr>
          <w:t>26</w:t>
        </w:r>
        <w:r w:rsidR="00BE7282" w:rsidRPr="007B3B90">
          <w:rPr>
            <w:webHidden/>
          </w:rPr>
          <w:fldChar w:fldCharType="end"/>
        </w:r>
      </w:hyperlink>
    </w:p>
    <w:p w14:paraId="6372A77C" w14:textId="77777777" w:rsidR="00663512" w:rsidRPr="007B3B90" w:rsidRDefault="00663512" w:rsidP="00663512">
      <w:pPr>
        <w:spacing w:before="120" w:after="120"/>
        <w:rPr>
          <w:sz w:val="28"/>
          <w:szCs w:val="28"/>
        </w:rPr>
      </w:pPr>
      <w:r w:rsidRPr="007B3B90">
        <w:rPr>
          <w:sz w:val="28"/>
          <w:szCs w:val="28"/>
        </w:rPr>
        <w:fldChar w:fldCharType="end"/>
      </w:r>
    </w:p>
    <w:p w14:paraId="409036CF" w14:textId="77777777" w:rsidR="00BE7282" w:rsidRPr="007B3B90" w:rsidRDefault="00BE7282" w:rsidP="00663512">
      <w:pPr>
        <w:spacing w:before="120" w:after="120"/>
        <w:rPr>
          <w:sz w:val="28"/>
          <w:szCs w:val="28"/>
        </w:rPr>
      </w:pPr>
    </w:p>
    <w:p w14:paraId="77937937" w14:textId="77777777" w:rsidR="00BE7282" w:rsidRPr="007B3B90" w:rsidRDefault="00BE7282" w:rsidP="00663512">
      <w:pPr>
        <w:spacing w:before="120" w:after="120"/>
        <w:rPr>
          <w:sz w:val="28"/>
          <w:szCs w:val="28"/>
        </w:rPr>
      </w:pPr>
    </w:p>
    <w:p w14:paraId="6F9E20E6" w14:textId="77777777" w:rsidR="00BE7282" w:rsidRPr="007B3B90" w:rsidRDefault="00BE7282" w:rsidP="00663512">
      <w:pPr>
        <w:spacing w:before="120" w:after="120"/>
        <w:rPr>
          <w:sz w:val="28"/>
          <w:szCs w:val="28"/>
        </w:rPr>
      </w:pPr>
    </w:p>
    <w:p w14:paraId="20610361" w14:textId="77777777" w:rsidR="00BE7282" w:rsidRPr="007B3B90" w:rsidRDefault="00BE7282" w:rsidP="00663512">
      <w:pPr>
        <w:spacing w:before="120" w:after="120"/>
        <w:rPr>
          <w:sz w:val="28"/>
          <w:szCs w:val="28"/>
        </w:rPr>
      </w:pPr>
    </w:p>
    <w:p w14:paraId="44CB6266" w14:textId="77777777" w:rsidR="00BE7282" w:rsidRPr="007B3B90" w:rsidRDefault="00BE7282" w:rsidP="00663512">
      <w:pPr>
        <w:spacing w:before="120" w:after="120"/>
        <w:rPr>
          <w:sz w:val="28"/>
          <w:szCs w:val="28"/>
        </w:rPr>
      </w:pPr>
    </w:p>
    <w:p w14:paraId="28D006E8" w14:textId="77777777" w:rsidR="002A2EC1" w:rsidRPr="007B3B90" w:rsidRDefault="002A2EC1">
      <w:pPr>
        <w:rPr>
          <w:b/>
          <w:caps/>
          <w:sz w:val="28"/>
          <w:szCs w:val="28"/>
        </w:rPr>
      </w:pPr>
      <w:r w:rsidRPr="007B3B90">
        <w:rPr>
          <w:b/>
          <w:caps/>
          <w:sz w:val="28"/>
          <w:szCs w:val="28"/>
        </w:rPr>
        <w:br w:type="page"/>
      </w:r>
    </w:p>
    <w:p w14:paraId="498ACBCE" w14:textId="3DE22C73" w:rsidR="00663512" w:rsidRPr="007B3B90" w:rsidRDefault="00663512" w:rsidP="002A2EC1">
      <w:pPr>
        <w:rPr>
          <w:b/>
          <w:caps/>
          <w:sz w:val="28"/>
          <w:szCs w:val="28"/>
        </w:rPr>
      </w:pPr>
      <w:r w:rsidRPr="007B3B90">
        <w:rPr>
          <w:b/>
          <w:caps/>
          <w:sz w:val="28"/>
          <w:szCs w:val="28"/>
        </w:rPr>
        <w:lastRenderedPageBreak/>
        <w:t>Glossary of Abbreviations</w:t>
      </w:r>
    </w:p>
    <w:p w14:paraId="5519DE7E" w14:textId="5C79601D" w:rsidR="00606934" w:rsidRPr="007B3B90" w:rsidRDefault="00606934" w:rsidP="00663512">
      <w:pPr>
        <w:spacing w:before="120" w:after="120"/>
        <w:rPr>
          <w:b/>
          <w:caps/>
          <w:sz w:val="28"/>
          <w:szCs w:val="28"/>
        </w:rPr>
      </w:pPr>
    </w:p>
    <w:p w14:paraId="3769184B" w14:textId="77777777" w:rsidR="00606934" w:rsidRPr="007B3B90" w:rsidRDefault="00606934" w:rsidP="00663512">
      <w:pPr>
        <w:spacing w:before="120" w:after="120"/>
        <w:rPr>
          <w:b/>
          <w:caps/>
          <w:sz w:val="28"/>
          <w:szCs w:val="28"/>
        </w:rPr>
      </w:pPr>
    </w:p>
    <w:tbl>
      <w:tblPr>
        <w:tblW w:w="909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98"/>
        <w:gridCol w:w="7301"/>
      </w:tblGrid>
      <w:tr w:rsidR="00C4140D" w:rsidRPr="007B3B90" w14:paraId="26872C6D" w14:textId="77777777" w:rsidTr="005A73EF">
        <w:trPr>
          <w:trHeight w:val="378"/>
        </w:trPr>
        <w:tc>
          <w:tcPr>
            <w:tcW w:w="1798" w:type="dxa"/>
          </w:tcPr>
          <w:p w14:paraId="6CB97520" w14:textId="6EF37569" w:rsidR="00C4140D" w:rsidRPr="007B3B90" w:rsidRDefault="00C4140D" w:rsidP="00442D0D">
            <w:pPr>
              <w:rPr>
                <w:color w:val="000000"/>
                <w:sz w:val="20"/>
                <w:szCs w:val="20"/>
              </w:rPr>
            </w:pPr>
            <w:r w:rsidRPr="007B3B90">
              <w:rPr>
                <w:color w:val="000000"/>
                <w:sz w:val="20"/>
                <w:szCs w:val="20"/>
              </w:rPr>
              <w:t xml:space="preserve">AAA </w:t>
            </w:r>
          </w:p>
        </w:tc>
        <w:tc>
          <w:tcPr>
            <w:tcW w:w="7301" w:type="dxa"/>
          </w:tcPr>
          <w:p w14:paraId="21CF3DEB" w14:textId="17A8A076" w:rsidR="00C4140D" w:rsidRPr="007B3B90" w:rsidRDefault="00C4140D" w:rsidP="00442D0D">
            <w:pPr>
              <w:rPr>
                <w:color w:val="000000"/>
                <w:sz w:val="20"/>
                <w:szCs w:val="20"/>
              </w:rPr>
            </w:pPr>
            <w:r w:rsidRPr="007B3B90">
              <w:rPr>
                <w:color w:val="000000"/>
                <w:sz w:val="20"/>
                <w:szCs w:val="20"/>
              </w:rPr>
              <w:t>Abdominal aortic aneurysm</w:t>
            </w:r>
          </w:p>
        </w:tc>
      </w:tr>
      <w:tr w:rsidR="00C4140D" w:rsidRPr="007B3B90" w14:paraId="5FF3E958" w14:textId="77777777" w:rsidTr="005A73EF">
        <w:trPr>
          <w:trHeight w:val="378"/>
        </w:trPr>
        <w:tc>
          <w:tcPr>
            <w:tcW w:w="1798" w:type="dxa"/>
          </w:tcPr>
          <w:p w14:paraId="2AC01316" w14:textId="7F8FA0F5" w:rsidR="00C4140D" w:rsidRPr="007B3B90" w:rsidRDefault="00C4140D" w:rsidP="00442D0D">
            <w:pPr>
              <w:rPr>
                <w:color w:val="000000"/>
                <w:sz w:val="20"/>
                <w:szCs w:val="20"/>
              </w:rPr>
            </w:pPr>
            <w:r w:rsidRPr="007B3B90">
              <w:rPr>
                <w:color w:val="000000"/>
                <w:sz w:val="20"/>
                <w:szCs w:val="20"/>
              </w:rPr>
              <w:t xml:space="preserve">AE </w:t>
            </w:r>
          </w:p>
        </w:tc>
        <w:tc>
          <w:tcPr>
            <w:tcW w:w="7301" w:type="dxa"/>
          </w:tcPr>
          <w:p w14:paraId="25A90364" w14:textId="1854A147" w:rsidR="00C4140D" w:rsidRPr="007B3B90" w:rsidRDefault="00C4140D" w:rsidP="00442D0D">
            <w:pPr>
              <w:rPr>
                <w:color w:val="000000"/>
                <w:sz w:val="20"/>
                <w:szCs w:val="20"/>
              </w:rPr>
            </w:pPr>
            <w:r w:rsidRPr="007B3B90">
              <w:rPr>
                <w:color w:val="000000"/>
                <w:sz w:val="20"/>
                <w:szCs w:val="20"/>
              </w:rPr>
              <w:t>Adverse Event</w:t>
            </w:r>
          </w:p>
        </w:tc>
      </w:tr>
      <w:tr w:rsidR="00C4140D" w:rsidRPr="007B3B90" w14:paraId="1D777B1A" w14:textId="77777777" w:rsidTr="005A73EF">
        <w:trPr>
          <w:trHeight w:val="350"/>
        </w:trPr>
        <w:tc>
          <w:tcPr>
            <w:tcW w:w="1798" w:type="dxa"/>
          </w:tcPr>
          <w:p w14:paraId="2B4BC2E4" w14:textId="2C834F34" w:rsidR="00C4140D" w:rsidRPr="007B3B90" w:rsidRDefault="00C4140D" w:rsidP="00442D0D">
            <w:pPr>
              <w:rPr>
                <w:color w:val="000000"/>
                <w:sz w:val="20"/>
                <w:szCs w:val="20"/>
              </w:rPr>
            </w:pPr>
            <w:proofErr w:type="spellStart"/>
            <w:r w:rsidRPr="007B3B90">
              <w:rPr>
                <w:color w:val="000000"/>
                <w:sz w:val="20"/>
                <w:szCs w:val="20"/>
              </w:rPr>
              <w:t>AneurysmDQoL</w:t>
            </w:r>
            <w:proofErr w:type="spellEnd"/>
            <w:r w:rsidRPr="007B3B90">
              <w:rPr>
                <w:color w:val="000000"/>
                <w:sz w:val="20"/>
                <w:szCs w:val="20"/>
              </w:rPr>
              <w:t xml:space="preserve"> </w:t>
            </w:r>
          </w:p>
        </w:tc>
        <w:tc>
          <w:tcPr>
            <w:tcW w:w="7301" w:type="dxa"/>
          </w:tcPr>
          <w:p w14:paraId="14806A37" w14:textId="07AA93CA" w:rsidR="00C4140D" w:rsidRPr="007B3B90" w:rsidRDefault="00C4140D" w:rsidP="00442D0D">
            <w:pPr>
              <w:rPr>
                <w:color w:val="000000"/>
                <w:sz w:val="20"/>
                <w:szCs w:val="20"/>
              </w:rPr>
            </w:pPr>
            <w:r w:rsidRPr="007B3B90">
              <w:rPr>
                <w:color w:val="000000"/>
                <w:sz w:val="20"/>
                <w:szCs w:val="20"/>
              </w:rPr>
              <w:t>Aneurysm-Dependent Quality of Life measure</w:t>
            </w:r>
          </w:p>
        </w:tc>
      </w:tr>
      <w:tr w:rsidR="00C4140D" w:rsidRPr="007B3B90" w14:paraId="318CD992" w14:textId="77777777" w:rsidTr="005A73EF">
        <w:trPr>
          <w:trHeight w:val="378"/>
        </w:trPr>
        <w:tc>
          <w:tcPr>
            <w:tcW w:w="1798" w:type="dxa"/>
          </w:tcPr>
          <w:p w14:paraId="0BBA53FD" w14:textId="694E36BC" w:rsidR="00C4140D" w:rsidRPr="007B3B90" w:rsidRDefault="00C4140D" w:rsidP="00442D0D">
            <w:pPr>
              <w:rPr>
                <w:color w:val="000000"/>
                <w:sz w:val="20"/>
                <w:szCs w:val="20"/>
              </w:rPr>
            </w:pPr>
            <w:proofErr w:type="spellStart"/>
            <w:r w:rsidRPr="007B3B90">
              <w:rPr>
                <w:color w:val="000000"/>
                <w:sz w:val="20"/>
                <w:szCs w:val="20"/>
              </w:rPr>
              <w:t>AneurysmSRQ</w:t>
            </w:r>
            <w:proofErr w:type="spellEnd"/>
            <w:r w:rsidRPr="007B3B90">
              <w:rPr>
                <w:color w:val="000000"/>
                <w:sz w:val="20"/>
                <w:szCs w:val="20"/>
              </w:rPr>
              <w:t xml:space="preserve"> </w:t>
            </w:r>
          </w:p>
        </w:tc>
        <w:tc>
          <w:tcPr>
            <w:tcW w:w="7301" w:type="dxa"/>
          </w:tcPr>
          <w:p w14:paraId="0634C597" w14:textId="34E6A0A6" w:rsidR="00C4140D" w:rsidRPr="007B3B90" w:rsidRDefault="00C4140D" w:rsidP="00442D0D">
            <w:pPr>
              <w:rPr>
                <w:color w:val="000000"/>
                <w:sz w:val="20"/>
                <w:szCs w:val="20"/>
              </w:rPr>
            </w:pPr>
            <w:r w:rsidRPr="007B3B90">
              <w:rPr>
                <w:color w:val="000000"/>
                <w:sz w:val="20"/>
                <w:szCs w:val="20"/>
              </w:rPr>
              <w:t>Aneurysm Symptom Rating Questionnaire</w:t>
            </w:r>
          </w:p>
        </w:tc>
      </w:tr>
      <w:tr w:rsidR="00C4140D" w:rsidRPr="007B3B90" w14:paraId="5C59EE6D" w14:textId="77777777" w:rsidTr="005A73EF">
        <w:trPr>
          <w:trHeight w:val="378"/>
        </w:trPr>
        <w:tc>
          <w:tcPr>
            <w:tcW w:w="1798" w:type="dxa"/>
          </w:tcPr>
          <w:p w14:paraId="038373DC" w14:textId="76540A76" w:rsidR="00C4140D" w:rsidRPr="007B3B90" w:rsidRDefault="00C4140D" w:rsidP="00442D0D">
            <w:pPr>
              <w:rPr>
                <w:color w:val="000000"/>
                <w:sz w:val="20"/>
                <w:szCs w:val="20"/>
              </w:rPr>
            </w:pPr>
            <w:proofErr w:type="spellStart"/>
            <w:r w:rsidRPr="007B3B90">
              <w:rPr>
                <w:color w:val="000000"/>
                <w:sz w:val="20"/>
                <w:szCs w:val="20"/>
              </w:rPr>
              <w:t>AneurysmTSQ</w:t>
            </w:r>
            <w:proofErr w:type="spellEnd"/>
            <w:r w:rsidRPr="007B3B90">
              <w:rPr>
                <w:color w:val="000000"/>
                <w:sz w:val="20"/>
                <w:szCs w:val="20"/>
              </w:rPr>
              <w:t xml:space="preserve">  </w:t>
            </w:r>
          </w:p>
        </w:tc>
        <w:tc>
          <w:tcPr>
            <w:tcW w:w="7301" w:type="dxa"/>
          </w:tcPr>
          <w:p w14:paraId="65006CC7" w14:textId="426D12E0" w:rsidR="00C4140D" w:rsidRPr="007B3B90" w:rsidRDefault="00C4140D" w:rsidP="00442D0D">
            <w:pPr>
              <w:rPr>
                <w:color w:val="000000"/>
                <w:sz w:val="20"/>
                <w:szCs w:val="20"/>
              </w:rPr>
            </w:pPr>
            <w:r w:rsidRPr="007B3B90">
              <w:rPr>
                <w:color w:val="000000"/>
                <w:sz w:val="20"/>
                <w:szCs w:val="20"/>
              </w:rPr>
              <w:t>Aneurysm Treatment Satisfaction Questionnaire</w:t>
            </w:r>
          </w:p>
        </w:tc>
      </w:tr>
      <w:tr w:rsidR="00C4140D" w:rsidRPr="007B3B90" w14:paraId="6259A54C" w14:textId="77777777" w:rsidTr="005A73EF">
        <w:trPr>
          <w:trHeight w:val="408"/>
        </w:trPr>
        <w:tc>
          <w:tcPr>
            <w:tcW w:w="1798" w:type="dxa"/>
          </w:tcPr>
          <w:p w14:paraId="011CA72A" w14:textId="333E4118" w:rsidR="00C4140D" w:rsidRPr="007B3B90" w:rsidRDefault="00C4140D" w:rsidP="00442D0D">
            <w:pPr>
              <w:rPr>
                <w:color w:val="000000"/>
                <w:sz w:val="20"/>
                <w:szCs w:val="20"/>
              </w:rPr>
            </w:pPr>
            <w:r w:rsidRPr="007B3B90">
              <w:rPr>
                <w:color w:val="000000"/>
                <w:sz w:val="20"/>
                <w:szCs w:val="20"/>
              </w:rPr>
              <w:t xml:space="preserve">CHP </w:t>
            </w:r>
          </w:p>
        </w:tc>
        <w:tc>
          <w:tcPr>
            <w:tcW w:w="7301" w:type="dxa"/>
          </w:tcPr>
          <w:p w14:paraId="4345A863" w14:textId="37FCE1B2" w:rsidR="00C4140D" w:rsidRPr="007B3B90" w:rsidRDefault="00C4140D" w:rsidP="00442D0D">
            <w:pPr>
              <w:rPr>
                <w:color w:val="000000"/>
                <w:sz w:val="20"/>
                <w:szCs w:val="20"/>
              </w:rPr>
            </w:pPr>
            <w:r w:rsidRPr="007B3B90">
              <w:rPr>
                <w:color w:val="000000"/>
                <w:sz w:val="20"/>
                <w:szCs w:val="20"/>
              </w:rPr>
              <w:t>Centre for Health Policy</w:t>
            </w:r>
          </w:p>
        </w:tc>
      </w:tr>
      <w:tr w:rsidR="00B20F45" w:rsidRPr="007B3B90" w14:paraId="34287C1D" w14:textId="77777777" w:rsidTr="005A73EF">
        <w:trPr>
          <w:trHeight w:val="408"/>
        </w:trPr>
        <w:tc>
          <w:tcPr>
            <w:tcW w:w="1798" w:type="dxa"/>
          </w:tcPr>
          <w:p w14:paraId="31A3E6D5" w14:textId="7BED1896" w:rsidR="00B20F45" w:rsidRPr="007B3B90" w:rsidRDefault="00B20F45" w:rsidP="00442D0D">
            <w:pPr>
              <w:rPr>
                <w:color w:val="000000"/>
                <w:sz w:val="20"/>
                <w:szCs w:val="20"/>
              </w:rPr>
            </w:pPr>
            <w:r>
              <w:rPr>
                <w:color w:val="000000"/>
                <w:sz w:val="20"/>
                <w:szCs w:val="20"/>
              </w:rPr>
              <w:t>COVID-19</w:t>
            </w:r>
          </w:p>
        </w:tc>
        <w:tc>
          <w:tcPr>
            <w:tcW w:w="7301" w:type="dxa"/>
          </w:tcPr>
          <w:p w14:paraId="77DB53BD" w14:textId="3A24AFD3" w:rsidR="00B20F45" w:rsidRPr="007B3B90" w:rsidRDefault="001F4C01" w:rsidP="00442D0D">
            <w:pPr>
              <w:rPr>
                <w:color w:val="000000"/>
                <w:sz w:val="20"/>
                <w:szCs w:val="20"/>
              </w:rPr>
            </w:pPr>
            <w:r>
              <w:rPr>
                <w:color w:val="000000"/>
                <w:sz w:val="20"/>
                <w:szCs w:val="20"/>
              </w:rPr>
              <w:t>Coronavirus Disease of 2019</w:t>
            </w:r>
          </w:p>
        </w:tc>
      </w:tr>
      <w:tr w:rsidR="00C4140D" w:rsidRPr="007B3B90" w14:paraId="39C4A9D0" w14:textId="77777777" w:rsidTr="005A73EF">
        <w:trPr>
          <w:trHeight w:val="408"/>
        </w:trPr>
        <w:tc>
          <w:tcPr>
            <w:tcW w:w="1798" w:type="dxa"/>
          </w:tcPr>
          <w:p w14:paraId="242736EB" w14:textId="07D7C6BB" w:rsidR="00C4140D" w:rsidRPr="007B3B90" w:rsidRDefault="00C4140D" w:rsidP="00442D0D">
            <w:pPr>
              <w:rPr>
                <w:color w:val="000000"/>
                <w:sz w:val="20"/>
                <w:szCs w:val="20"/>
              </w:rPr>
            </w:pPr>
            <w:r w:rsidRPr="007B3B90">
              <w:rPr>
                <w:color w:val="000000"/>
                <w:sz w:val="20"/>
                <w:szCs w:val="20"/>
              </w:rPr>
              <w:t xml:space="preserve">EVAR </w:t>
            </w:r>
          </w:p>
        </w:tc>
        <w:tc>
          <w:tcPr>
            <w:tcW w:w="7301" w:type="dxa"/>
          </w:tcPr>
          <w:p w14:paraId="0F7294D7" w14:textId="204986DB" w:rsidR="00C4140D" w:rsidRPr="007B3B90" w:rsidRDefault="00C4140D" w:rsidP="00442D0D">
            <w:pPr>
              <w:rPr>
                <w:color w:val="000000"/>
                <w:sz w:val="20"/>
                <w:szCs w:val="20"/>
              </w:rPr>
            </w:pPr>
            <w:r w:rsidRPr="007B3B90">
              <w:rPr>
                <w:color w:val="000000"/>
                <w:sz w:val="20"/>
                <w:szCs w:val="20"/>
              </w:rPr>
              <w:t>Endovascular aneurysm repair</w:t>
            </w:r>
          </w:p>
        </w:tc>
      </w:tr>
      <w:tr w:rsidR="00C4140D" w:rsidRPr="007B3B90" w14:paraId="560BF1E5" w14:textId="77777777" w:rsidTr="005A73EF">
        <w:trPr>
          <w:trHeight w:val="408"/>
        </w:trPr>
        <w:tc>
          <w:tcPr>
            <w:tcW w:w="1798" w:type="dxa"/>
          </w:tcPr>
          <w:p w14:paraId="48B362C2" w14:textId="427A0E69" w:rsidR="00C4140D" w:rsidRPr="007B3B90" w:rsidRDefault="00C4140D" w:rsidP="00442D0D">
            <w:pPr>
              <w:rPr>
                <w:color w:val="000000"/>
                <w:sz w:val="20"/>
                <w:szCs w:val="20"/>
              </w:rPr>
            </w:pPr>
            <w:r w:rsidRPr="007B3B90">
              <w:rPr>
                <w:color w:val="000000"/>
                <w:sz w:val="20"/>
                <w:szCs w:val="20"/>
              </w:rPr>
              <w:t xml:space="preserve">GIRFT </w:t>
            </w:r>
          </w:p>
        </w:tc>
        <w:tc>
          <w:tcPr>
            <w:tcW w:w="7301" w:type="dxa"/>
          </w:tcPr>
          <w:p w14:paraId="24E09048" w14:textId="1E629912" w:rsidR="00C4140D" w:rsidRPr="007B3B90" w:rsidRDefault="00C4140D" w:rsidP="00442D0D">
            <w:pPr>
              <w:rPr>
                <w:color w:val="000000"/>
                <w:sz w:val="20"/>
                <w:szCs w:val="20"/>
              </w:rPr>
            </w:pPr>
            <w:r w:rsidRPr="007B3B90">
              <w:rPr>
                <w:color w:val="000000"/>
                <w:sz w:val="20"/>
                <w:szCs w:val="20"/>
              </w:rPr>
              <w:t>Get It Right First Time</w:t>
            </w:r>
          </w:p>
        </w:tc>
      </w:tr>
      <w:tr w:rsidR="00C4140D" w:rsidRPr="007B3B90" w14:paraId="0DDC71E8" w14:textId="77777777" w:rsidTr="005A73EF">
        <w:trPr>
          <w:trHeight w:val="408"/>
        </w:trPr>
        <w:tc>
          <w:tcPr>
            <w:tcW w:w="1798" w:type="dxa"/>
          </w:tcPr>
          <w:p w14:paraId="234BD2EF" w14:textId="51477506" w:rsidR="00C4140D" w:rsidRPr="007B3B90" w:rsidRDefault="00C4140D" w:rsidP="00442D0D">
            <w:pPr>
              <w:rPr>
                <w:color w:val="000000"/>
                <w:sz w:val="20"/>
                <w:szCs w:val="20"/>
              </w:rPr>
            </w:pPr>
            <w:r w:rsidRPr="007B3B90">
              <w:rPr>
                <w:color w:val="000000"/>
                <w:sz w:val="20"/>
                <w:szCs w:val="20"/>
              </w:rPr>
              <w:t xml:space="preserve">GP </w:t>
            </w:r>
          </w:p>
        </w:tc>
        <w:tc>
          <w:tcPr>
            <w:tcW w:w="7301" w:type="dxa"/>
          </w:tcPr>
          <w:p w14:paraId="2EE7CE27" w14:textId="52DA23B5" w:rsidR="00C4140D" w:rsidRPr="007B3B90" w:rsidRDefault="00D805B6" w:rsidP="00442D0D">
            <w:pPr>
              <w:rPr>
                <w:color w:val="000000"/>
                <w:sz w:val="20"/>
                <w:szCs w:val="20"/>
              </w:rPr>
            </w:pPr>
            <w:r w:rsidRPr="007B3B90">
              <w:rPr>
                <w:color w:val="000000"/>
                <w:sz w:val="20"/>
                <w:szCs w:val="20"/>
              </w:rPr>
              <w:t>General Practitioner</w:t>
            </w:r>
          </w:p>
        </w:tc>
      </w:tr>
      <w:tr w:rsidR="00B20F45" w:rsidRPr="007B3B90" w14:paraId="5B3E42C3" w14:textId="77777777" w:rsidTr="005A73EF">
        <w:trPr>
          <w:trHeight w:val="378"/>
        </w:trPr>
        <w:tc>
          <w:tcPr>
            <w:tcW w:w="1798" w:type="dxa"/>
          </w:tcPr>
          <w:p w14:paraId="7CEB557B" w14:textId="074047AC" w:rsidR="00B20F45" w:rsidRPr="007B3B90" w:rsidRDefault="00B20F45" w:rsidP="00442D0D">
            <w:pPr>
              <w:rPr>
                <w:color w:val="000000"/>
                <w:sz w:val="20"/>
                <w:szCs w:val="20"/>
              </w:rPr>
            </w:pPr>
            <w:r>
              <w:rPr>
                <w:color w:val="000000"/>
                <w:sz w:val="20"/>
                <w:szCs w:val="20"/>
              </w:rPr>
              <w:t>HAP</w:t>
            </w:r>
          </w:p>
        </w:tc>
        <w:tc>
          <w:tcPr>
            <w:tcW w:w="7301" w:type="dxa"/>
          </w:tcPr>
          <w:p w14:paraId="6B3B411F" w14:textId="141EB7E4" w:rsidR="00B20F45" w:rsidRPr="007B3B90" w:rsidRDefault="00B20F45" w:rsidP="00442D0D">
            <w:pPr>
              <w:rPr>
                <w:color w:val="000000"/>
                <w:sz w:val="20"/>
                <w:szCs w:val="20"/>
              </w:rPr>
            </w:pPr>
            <w:r>
              <w:rPr>
                <w:color w:val="000000"/>
                <w:sz w:val="20"/>
                <w:szCs w:val="20"/>
              </w:rPr>
              <w:t>Hospital Acquired Pneumonia</w:t>
            </w:r>
          </w:p>
        </w:tc>
      </w:tr>
      <w:tr w:rsidR="00C4140D" w:rsidRPr="007B3B90" w14:paraId="4A7307D3" w14:textId="77777777" w:rsidTr="005A73EF">
        <w:trPr>
          <w:trHeight w:val="378"/>
        </w:trPr>
        <w:tc>
          <w:tcPr>
            <w:tcW w:w="1798" w:type="dxa"/>
          </w:tcPr>
          <w:p w14:paraId="5D0A8C8C" w14:textId="244545D8" w:rsidR="00C4140D" w:rsidRPr="007B3B90" w:rsidRDefault="00C4140D" w:rsidP="00442D0D">
            <w:pPr>
              <w:rPr>
                <w:color w:val="000000"/>
                <w:sz w:val="20"/>
                <w:szCs w:val="20"/>
              </w:rPr>
            </w:pPr>
            <w:r w:rsidRPr="007B3B90">
              <w:rPr>
                <w:color w:val="000000"/>
                <w:sz w:val="20"/>
                <w:szCs w:val="20"/>
              </w:rPr>
              <w:t xml:space="preserve">HDU </w:t>
            </w:r>
          </w:p>
        </w:tc>
        <w:tc>
          <w:tcPr>
            <w:tcW w:w="7301" w:type="dxa"/>
          </w:tcPr>
          <w:p w14:paraId="78BECAB2" w14:textId="69EDC30C" w:rsidR="00C4140D" w:rsidRPr="007B3B90" w:rsidRDefault="00D805B6" w:rsidP="00442D0D">
            <w:pPr>
              <w:rPr>
                <w:color w:val="000000"/>
                <w:sz w:val="20"/>
                <w:szCs w:val="20"/>
              </w:rPr>
            </w:pPr>
            <w:r w:rsidRPr="007B3B90">
              <w:rPr>
                <w:color w:val="000000"/>
                <w:sz w:val="20"/>
                <w:szCs w:val="20"/>
              </w:rPr>
              <w:t>High Dependency Unit</w:t>
            </w:r>
          </w:p>
        </w:tc>
      </w:tr>
      <w:tr w:rsidR="00C4140D" w:rsidRPr="007B3B90" w14:paraId="0F44ECC5" w14:textId="77777777" w:rsidTr="005A73EF">
        <w:trPr>
          <w:trHeight w:val="408"/>
        </w:trPr>
        <w:tc>
          <w:tcPr>
            <w:tcW w:w="1798" w:type="dxa"/>
          </w:tcPr>
          <w:p w14:paraId="39FFF88D" w14:textId="635D0812" w:rsidR="00C4140D" w:rsidRPr="007B3B90" w:rsidRDefault="00C4140D" w:rsidP="00442D0D">
            <w:pPr>
              <w:rPr>
                <w:color w:val="000000"/>
                <w:sz w:val="20"/>
                <w:szCs w:val="20"/>
              </w:rPr>
            </w:pPr>
            <w:r w:rsidRPr="007B3B90">
              <w:rPr>
                <w:color w:val="000000"/>
                <w:sz w:val="20"/>
                <w:szCs w:val="20"/>
              </w:rPr>
              <w:t xml:space="preserve">ICMJE </w:t>
            </w:r>
          </w:p>
        </w:tc>
        <w:tc>
          <w:tcPr>
            <w:tcW w:w="7301" w:type="dxa"/>
          </w:tcPr>
          <w:p w14:paraId="2BEF1D54" w14:textId="730E655E" w:rsidR="00C4140D" w:rsidRPr="007B3B90" w:rsidRDefault="00D805B6" w:rsidP="00442D0D">
            <w:pPr>
              <w:rPr>
                <w:color w:val="000000"/>
                <w:sz w:val="20"/>
                <w:szCs w:val="20"/>
              </w:rPr>
            </w:pPr>
            <w:r w:rsidRPr="007B3B90">
              <w:rPr>
                <w:color w:val="000000"/>
                <w:sz w:val="20"/>
                <w:szCs w:val="20"/>
              </w:rPr>
              <w:t>International Committee of Medical Journal Editors</w:t>
            </w:r>
          </w:p>
        </w:tc>
      </w:tr>
      <w:tr w:rsidR="00C4140D" w:rsidRPr="007B3B90" w14:paraId="25419051" w14:textId="77777777" w:rsidTr="005A73EF">
        <w:trPr>
          <w:trHeight w:val="408"/>
        </w:trPr>
        <w:tc>
          <w:tcPr>
            <w:tcW w:w="1798" w:type="dxa"/>
          </w:tcPr>
          <w:p w14:paraId="623BFF75" w14:textId="55D83138" w:rsidR="00C4140D" w:rsidRPr="007B3B90" w:rsidRDefault="00C4140D" w:rsidP="00442D0D">
            <w:pPr>
              <w:rPr>
                <w:color w:val="000000"/>
                <w:sz w:val="20"/>
                <w:szCs w:val="20"/>
              </w:rPr>
            </w:pPr>
            <w:r w:rsidRPr="007B3B90">
              <w:rPr>
                <w:color w:val="000000"/>
                <w:sz w:val="20"/>
                <w:szCs w:val="20"/>
              </w:rPr>
              <w:t xml:space="preserve">ITU </w:t>
            </w:r>
          </w:p>
        </w:tc>
        <w:tc>
          <w:tcPr>
            <w:tcW w:w="7301" w:type="dxa"/>
          </w:tcPr>
          <w:p w14:paraId="32C406B1" w14:textId="097C01D8" w:rsidR="00C4140D" w:rsidRPr="007B3B90" w:rsidRDefault="00D805B6" w:rsidP="00442D0D">
            <w:pPr>
              <w:rPr>
                <w:color w:val="000000"/>
                <w:sz w:val="20"/>
                <w:szCs w:val="20"/>
              </w:rPr>
            </w:pPr>
            <w:r w:rsidRPr="007B3B90">
              <w:rPr>
                <w:color w:val="000000"/>
                <w:sz w:val="20"/>
                <w:szCs w:val="20"/>
              </w:rPr>
              <w:t>Intensive Care unit</w:t>
            </w:r>
          </w:p>
        </w:tc>
      </w:tr>
      <w:tr w:rsidR="00C4140D" w:rsidRPr="007B3B90" w14:paraId="7ED2382E" w14:textId="77777777" w:rsidTr="005A73EF">
        <w:trPr>
          <w:trHeight w:val="408"/>
        </w:trPr>
        <w:tc>
          <w:tcPr>
            <w:tcW w:w="1798" w:type="dxa"/>
          </w:tcPr>
          <w:p w14:paraId="5F4A28FF" w14:textId="2A91DC26" w:rsidR="00C4140D" w:rsidRPr="007B3B90" w:rsidRDefault="00C4140D" w:rsidP="00442D0D">
            <w:pPr>
              <w:rPr>
                <w:color w:val="000000"/>
                <w:sz w:val="20"/>
                <w:szCs w:val="20"/>
              </w:rPr>
            </w:pPr>
            <w:r w:rsidRPr="007B3B90">
              <w:rPr>
                <w:color w:val="000000"/>
                <w:sz w:val="20"/>
                <w:szCs w:val="20"/>
              </w:rPr>
              <w:t xml:space="preserve">LOT-R </w:t>
            </w:r>
          </w:p>
        </w:tc>
        <w:tc>
          <w:tcPr>
            <w:tcW w:w="7301" w:type="dxa"/>
          </w:tcPr>
          <w:p w14:paraId="3B13B9F8" w14:textId="3A011BD1" w:rsidR="00C4140D" w:rsidRPr="007B3B90" w:rsidRDefault="00D805B6" w:rsidP="00442D0D">
            <w:pPr>
              <w:rPr>
                <w:color w:val="000000"/>
                <w:sz w:val="20"/>
                <w:szCs w:val="20"/>
              </w:rPr>
            </w:pPr>
            <w:r w:rsidRPr="007B3B90">
              <w:rPr>
                <w:color w:val="000000"/>
                <w:sz w:val="20"/>
                <w:szCs w:val="20"/>
              </w:rPr>
              <w:t>Life Orientation Test – Revised</w:t>
            </w:r>
          </w:p>
        </w:tc>
      </w:tr>
      <w:tr w:rsidR="00C4140D" w:rsidRPr="007B3B90" w14:paraId="0CC4EE3E" w14:textId="77777777" w:rsidTr="005A73EF">
        <w:trPr>
          <w:trHeight w:val="408"/>
        </w:trPr>
        <w:tc>
          <w:tcPr>
            <w:tcW w:w="1798" w:type="dxa"/>
          </w:tcPr>
          <w:p w14:paraId="61C23BCA" w14:textId="39B2FD08" w:rsidR="00C4140D" w:rsidRPr="007B3B90" w:rsidRDefault="00C4140D" w:rsidP="00442D0D">
            <w:pPr>
              <w:rPr>
                <w:color w:val="000000"/>
                <w:sz w:val="20"/>
                <w:szCs w:val="20"/>
              </w:rPr>
            </w:pPr>
            <w:r w:rsidRPr="007B3B90">
              <w:rPr>
                <w:color w:val="000000"/>
                <w:sz w:val="20"/>
                <w:szCs w:val="20"/>
              </w:rPr>
              <w:t xml:space="preserve">MDT </w:t>
            </w:r>
          </w:p>
        </w:tc>
        <w:tc>
          <w:tcPr>
            <w:tcW w:w="7301" w:type="dxa"/>
          </w:tcPr>
          <w:p w14:paraId="737C909E" w14:textId="1598C6A0" w:rsidR="00C4140D" w:rsidRPr="007B3B90" w:rsidRDefault="00606934" w:rsidP="00442D0D">
            <w:pPr>
              <w:rPr>
                <w:color w:val="000000"/>
                <w:sz w:val="20"/>
                <w:szCs w:val="20"/>
              </w:rPr>
            </w:pPr>
            <w:r w:rsidRPr="007B3B90">
              <w:rPr>
                <w:color w:val="000000"/>
                <w:sz w:val="20"/>
                <w:szCs w:val="20"/>
              </w:rPr>
              <w:t>Multidisciplinary team meeting</w:t>
            </w:r>
          </w:p>
        </w:tc>
      </w:tr>
      <w:tr w:rsidR="00C4140D" w:rsidRPr="007B3B90" w14:paraId="728519F8" w14:textId="77777777" w:rsidTr="005A73EF">
        <w:trPr>
          <w:trHeight w:val="408"/>
        </w:trPr>
        <w:tc>
          <w:tcPr>
            <w:tcW w:w="1798" w:type="dxa"/>
          </w:tcPr>
          <w:p w14:paraId="79F48947" w14:textId="5FC2F4FC" w:rsidR="00C4140D" w:rsidRPr="007B3B90" w:rsidRDefault="00C4140D" w:rsidP="00442D0D">
            <w:pPr>
              <w:rPr>
                <w:color w:val="000000"/>
                <w:sz w:val="20"/>
                <w:szCs w:val="20"/>
              </w:rPr>
            </w:pPr>
            <w:r w:rsidRPr="007B3B90">
              <w:rPr>
                <w:color w:val="000000"/>
                <w:sz w:val="20"/>
                <w:szCs w:val="20"/>
              </w:rPr>
              <w:t xml:space="preserve">MET </w:t>
            </w:r>
          </w:p>
        </w:tc>
        <w:tc>
          <w:tcPr>
            <w:tcW w:w="7301" w:type="dxa"/>
          </w:tcPr>
          <w:p w14:paraId="354350F2" w14:textId="318B5DF5" w:rsidR="00C4140D" w:rsidRPr="007B3B90" w:rsidRDefault="00606934" w:rsidP="00442D0D">
            <w:pPr>
              <w:rPr>
                <w:color w:val="000000"/>
                <w:sz w:val="20"/>
                <w:szCs w:val="20"/>
              </w:rPr>
            </w:pPr>
            <w:r w:rsidRPr="007B3B90">
              <w:rPr>
                <w:color w:val="000000"/>
                <w:sz w:val="20"/>
                <w:szCs w:val="20"/>
              </w:rPr>
              <w:t>Metabolic equivalents</w:t>
            </w:r>
          </w:p>
        </w:tc>
      </w:tr>
      <w:tr w:rsidR="00C4140D" w:rsidRPr="007B3B90" w14:paraId="79EBF2A7" w14:textId="77777777" w:rsidTr="005A73EF">
        <w:trPr>
          <w:trHeight w:val="408"/>
        </w:trPr>
        <w:tc>
          <w:tcPr>
            <w:tcW w:w="1798" w:type="dxa"/>
          </w:tcPr>
          <w:p w14:paraId="774238ED" w14:textId="29F3E549" w:rsidR="00C4140D" w:rsidRPr="007B3B90" w:rsidRDefault="00C4140D" w:rsidP="00442D0D">
            <w:pPr>
              <w:rPr>
                <w:color w:val="000000"/>
                <w:sz w:val="20"/>
                <w:szCs w:val="20"/>
              </w:rPr>
            </w:pPr>
            <w:r w:rsidRPr="007B3B90">
              <w:rPr>
                <w:color w:val="000000"/>
                <w:sz w:val="20"/>
                <w:szCs w:val="20"/>
              </w:rPr>
              <w:t xml:space="preserve">MI </w:t>
            </w:r>
          </w:p>
        </w:tc>
        <w:tc>
          <w:tcPr>
            <w:tcW w:w="7301" w:type="dxa"/>
          </w:tcPr>
          <w:p w14:paraId="428EC36D" w14:textId="289F56A3" w:rsidR="00C4140D" w:rsidRPr="007B3B90" w:rsidRDefault="00606934" w:rsidP="00442D0D">
            <w:pPr>
              <w:rPr>
                <w:color w:val="000000"/>
                <w:sz w:val="20"/>
                <w:szCs w:val="20"/>
              </w:rPr>
            </w:pPr>
            <w:r w:rsidRPr="007B3B90">
              <w:rPr>
                <w:color w:val="000000"/>
                <w:sz w:val="20"/>
                <w:szCs w:val="20"/>
              </w:rPr>
              <w:t>Myocardial Infarction</w:t>
            </w:r>
          </w:p>
        </w:tc>
      </w:tr>
      <w:tr w:rsidR="00C4140D" w:rsidRPr="007B3B90" w14:paraId="4473E613" w14:textId="77777777" w:rsidTr="005A73EF">
        <w:trPr>
          <w:trHeight w:val="408"/>
        </w:trPr>
        <w:tc>
          <w:tcPr>
            <w:tcW w:w="1798" w:type="dxa"/>
          </w:tcPr>
          <w:p w14:paraId="6BC8EA80" w14:textId="1F61543B" w:rsidR="00C4140D" w:rsidRPr="007B3B90" w:rsidRDefault="00C4140D" w:rsidP="00442D0D">
            <w:pPr>
              <w:rPr>
                <w:color w:val="000000"/>
                <w:sz w:val="20"/>
                <w:szCs w:val="20"/>
              </w:rPr>
            </w:pPr>
            <w:r w:rsidRPr="007B3B90">
              <w:rPr>
                <w:color w:val="000000"/>
                <w:sz w:val="20"/>
                <w:szCs w:val="20"/>
              </w:rPr>
              <w:t xml:space="preserve">NIHR </w:t>
            </w:r>
          </w:p>
        </w:tc>
        <w:tc>
          <w:tcPr>
            <w:tcW w:w="7301" w:type="dxa"/>
          </w:tcPr>
          <w:p w14:paraId="15D917D4" w14:textId="62CBD645" w:rsidR="00C4140D" w:rsidRPr="007B3B90" w:rsidRDefault="00D805B6" w:rsidP="00442D0D">
            <w:pPr>
              <w:rPr>
                <w:color w:val="000000"/>
                <w:sz w:val="20"/>
                <w:szCs w:val="20"/>
              </w:rPr>
            </w:pPr>
            <w:r w:rsidRPr="007B3B90">
              <w:rPr>
                <w:color w:val="000000"/>
                <w:sz w:val="20"/>
                <w:szCs w:val="20"/>
              </w:rPr>
              <w:t>National Institute for Health Research</w:t>
            </w:r>
          </w:p>
        </w:tc>
      </w:tr>
      <w:tr w:rsidR="00C4140D" w:rsidRPr="007B3B90" w14:paraId="14727F5A" w14:textId="77777777" w:rsidTr="005A73EF">
        <w:trPr>
          <w:trHeight w:val="408"/>
        </w:trPr>
        <w:tc>
          <w:tcPr>
            <w:tcW w:w="1798" w:type="dxa"/>
          </w:tcPr>
          <w:p w14:paraId="2D4E3A60" w14:textId="59902267" w:rsidR="00C4140D" w:rsidRPr="007B3B90" w:rsidRDefault="00C4140D" w:rsidP="00442D0D">
            <w:pPr>
              <w:rPr>
                <w:color w:val="000000"/>
                <w:sz w:val="20"/>
                <w:szCs w:val="20"/>
              </w:rPr>
            </w:pPr>
            <w:r w:rsidRPr="007B3B90">
              <w:rPr>
                <w:color w:val="000000"/>
                <w:sz w:val="20"/>
                <w:szCs w:val="20"/>
              </w:rPr>
              <w:t xml:space="preserve">NHS </w:t>
            </w:r>
          </w:p>
        </w:tc>
        <w:tc>
          <w:tcPr>
            <w:tcW w:w="7301" w:type="dxa"/>
          </w:tcPr>
          <w:p w14:paraId="2D2235B0" w14:textId="73068276" w:rsidR="00C4140D" w:rsidRPr="007B3B90" w:rsidRDefault="00D805B6" w:rsidP="00442D0D">
            <w:pPr>
              <w:rPr>
                <w:color w:val="000000"/>
                <w:sz w:val="20"/>
                <w:szCs w:val="20"/>
              </w:rPr>
            </w:pPr>
            <w:r w:rsidRPr="007B3B90">
              <w:rPr>
                <w:color w:val="000000"/>
                <w:sz w:val="20"/>
                <w:szCs w:val="20"/>
              </w:rPr>
              <w:t>National Health Service</w:t>
            </w:r>
          </w:p>
        </w:tc>
      </w:tr>
      <w:tr w:rsidR="00C4140D" w:rsidRPr="007B3B90" w14:paraId="7B8935DA" w14:textId="77777777" w:rsidTr="005A73EF">
        <w:trPr>
          <w:trHeight w:val="408"/>
        </w:trPr>
        <w:tc>
          <w:tcPr>
            <w:tcW w:w="1798" w:type="dxa"/>
          </w:tcPr>
          <w:p w14:paraId="078C4E14" w14:textId="52617EFC" w:rsidR="00C4140D" w:rsidRPr="007B3B90" w:rsidRDefault="00C4140D" w:rsidP="00442D0D">
            <w:pPr>
              <w:rPr>
                <w:color w:val="000000"/>
                <w:sz w:val="20"/>
                <w:szCs w:val="20"/>
              </w:rPr>
            </w:pPr>
            <w:r w:rsidRPr="007B3B90">
              <w:rPr>
                <w:color w:val="000000"/>
                <w:sz w:val="20"/>
                <w:szCs w:val="20"/>
              </w:rPr>
              <w:t xml:space="preserve">NICE </w:t>
            </w:r>
          </w:p>
        </w:tc>
        <w:tc>
          <w:tcPr>
            <w:tcW w:w="7301" w:type="dxa"/>
          </w:tcPr>
          <w:p w14:paraId="2C9C1974" w14:textId="3BBC7B0E" w:rsidR="00C4140D" w:rsidRPr="007B3B90" w:rsidRDefault="00D805B6" w:rsidP="00442D0D">
            <w:pPr>
              <w:rPr>
                <w:color w:val="000000"/>
                <w:sz w:val="20"/>
                <w:szCs w:val="20"/>
              </w:rPr>
            </w:pPr>
            <w:r w:rsidRPr="007B3B90">
              <w:rPr>
                <w:color w:val="000000"/>
                <w:sz w:val="20"/>
                <w:szCs w:val="20"/>
              </w:rPr>
              <w:t>National Institute for Health and Care Excellence</w:t>
            </w:r>
          </w:p>
        </w:tc>
      </w:tr>
      <w:tr w:rsidR="00C4140D" w:rsidRPr="007B3B90" w14:paraId="60177F19" w14:textId="77777777" w:rsidTr="005A73EF">
        <w:trPr>
          <w:trHeight w:val="378"/>
        </w:trPr>
        <w:tc>
          <w:tcPr>
            <w:tcW w:w="1798" w:type="dxa"/>
          </w:tcPr>
          <w:p w14:paraId="59E3EDAC" w14:textId="2CD4C6A2" w:rsidR="00C4140D" w:rsidRPr="007B3B90" w:rsidRDefault="00C4140D" w:rsidP="00442D0D">
            <w:pPr>
              <w:rPr>
                <w:color w:val="000000"/>
                <w:sz w:val="20"/>
                <w:szCs w:val="20"/>
              </w:rPr>
            </w:pPr>
            <w:r w:rsidRPr="007B3B90">
              <w:rPr>
                <w:color w:val="000000"/>
                <w:sz w:val="20"/>
                <w:szCs w:val="20"/>
              </w:rPr>
              <w:t xml:space="preserve">NVR </w:t>
            </w:r>
          </w:p>
        </w:tc>
        <w:tc>
          <w:tcPr>
            <w:tcW w:w="7301" w:type="dxa"/>
          </w:tcPr>
          <w:p w14:paraId="1821B488" w14:textId="47FA935A" w:rsidR="00C4140D" w:rsidRPr="007B3B90" w:rsidRDefault="00D805B6" w:rsidP="00442D0D">
            <w:pPr>
              <w:rPr>
                <w:color w:val="000000"/>
                <w:sz w:val="20"/>
                <w:szCs w:val="20"/>
              </w:rPr>
            </w:pPr>
            <w:r w:rsidRPr="007B3B90">
              <w:rPr>
                <w:color w:val="000000"/>
                <w:sz w:val="20"/>
                <w:szCs w:val="20"/>
              </w:rPr>
              <w:t>National Vascular Registry</w:t>
            </w:r>
          </w:p>
        </w:tc>
      </w:tr>
      <w:tr w:rsidR="00C4140D" w:rsidRPr="007B3B90" w14:paraId="591728D8" w14:textId="77777777" w:rsidTr="005A73EF">
        <w:trPr>
          <w:trHeight w:val="408"/>
        </w:trPr>
        <w:tc>
          <w:tcPr>
            <w:tcW w:w="1798" w:type="dxa"/>
          </w:tcPr>
          <w:p w14:paraId="0073DD0B" w14:textId="79D4F908" w:rsidR="00C4140D" w:rsidRPr="007B3B90" w:rsidRDefault="00C4140D" w:rsidP="00442D0D">
            <w:pPr>
              <w:rPr>
                <w:color w:val="000000"/>
                <w:sz w:val="20"/>
                <w:szCs w:val="20"/>
              </w:rPr>
            </w:pPr>
            <w:r w:rsidRPr="007B3B90">
              <w:rPr>
                <w:color w:val="000000"/>
                <w:sz w:val="20"/>
                <w:szCs w:val="20"/>
              </w:rPr>
              <w:t>POPS</w:t>
            </w:r>
          </w:p>
        </w:tc>
        <w:tc>
          <w:tcPr>
            <w:tcW w:w="7301" w:type="dxa"/>
          </w:tcPr>
          <w:p w14:paraId="77F3A53E" w14:textId="1223B1B2" w:rsidR="00C4140D" w:rsidRPr="007B3B90" w:rsidRDefault="00D805B6" w:rsidP="00442D0D">
            <w:pPr>
              <w:rPr>
                <w:color w:val="000000"/>
                <w:sz w:val="20"/>
                <w:szCs w:val="20"/>
              </w:rPr>
            </w:pPr>
            <w:r w:rsidRPr="007B3B90">
              <w:rPr>
                <w:color w:val="000000"/>
                <w:sz w:val="20"/>
                <w:szCs w:val="20"/>
              </w:rPr>
              <w:t>Proactive care for Older</w:t>
            </w:r>
            <w:r w:rsidR="00AE15AF" w:rsidRPr="002F1394">
              <w:rPr>
                <w:color w:val="000000"/>
                <w:sz w:val="20"/>
                <w:szCs w:val="20"/>
              </w:rPr>
              <w:t xml:space="preserve"> Patient</w:t>
            </w:r>
            <w:r w:rsidR="00AE15AF" w:rsidRPr="007B3B90">
              <w:rPr>
                <w:color w:val="000000"/>
                <w:sz w:val="20"/>
                <w:szCs w:val="20"/>
              </w:rPr>
              <w:t xml:space="preserve"> undergoing Surgery</w:t>
            </w:r>
          </w:p>
        </w:tc>
      </w:tr>
      <w:tr w:rsidR="00C4140D" w:rsidRPr="007B3B90" w14:paraId="321BE031" w14:textId="77777777" w:rsidTr="005A73EF">
        <w:trPr>
          <w:trHeight w:val="408"/>
        </w:trPr>
        <w:tc>
          <w:tcPr>
            <w:tcW w:w="1798" w:type="dxa"/>
          </w:tcPr>
          <w:p w14:paraId="6886CC72" w14:textId="3BAC930E" w:rsidR="00C4140D" w:rsidRPr="007B3B90" w:rsidRDefault="00C4140D" w:rsidP="00442D0D">
            <w:pPr>
              <w:rPr>
                <w:color w:val="000000"/>
                <w:sz w:val="20"/>
                <w:szCs w:val="20"/>
              </w:rPr>
            </w:pPr>
            <w:r w:rsidRPr="007B3B90">
              <w:rPr>
                <w:color w:val="000000"/>
                <w:sz w:val="20"/>
                <w:szCs w:val="20"/>
              </w:rPr>
              <w:t xml:space="preserve">PROMS </w:t>
            </w:r>
          </w:p>
        </w:tc>
        <w:tc>
          <w:tcPr>
            <w:tcW w:w="7301" w:type="dxa"/>
          </w:tcPr>
          <w:p w14:paraId="165E136C" w14:textId="3619CC9E" w:rsidR="00C4140D" w:rsidRPr="007B3B90" w:rsidRDefault="00D805B6" w:rsidP="00442D0D">
            <w:pPr>
              <w:rPr>
                <w:color w:val="000000"/>
                <w:sz w:val="20"/>
                <w:szCs w:val="20"/>
              </w:rPr>
            </w:pPr>
            <w:r w:rsidRPr="007B3B90">
              <w:rPr>
                <w:color w:val="000000"/>
                <w:sz w:val="20"/>
                <w:szCs w:val="20"/>
              </w:rPr>
              <w:t>Patient Re</w:t>
            </w:r>
            <w:r w:rsidR="000C26B5" w:rsidRPr="007B3B90">
              <w:rPr>
                <w:color w:val="000000"/>
                <w:sz w:val="20"/>
                <w:szCs w:val="20"/>
              </w:rPr>
              <w:t>ported</w:t>
            </w:r>
            <w:r w:rsidRPr="007B3B90">
              <w:rPr>
                <w:color w:val="000000"/>
                <w:sz w:val="20"/>
                <w:szCs w:val="20"/>
              </w:rPr>
              <w:t xml:space="preserve"> Outcome Measures</w:t>
            </w:r>
          </w:p>
        </w:tc>
      </w:tr>
      <w:tr w:rsidR="00C4140D" w:rsidRPr="007B3B90" w14:paraId="2CBE5910" w14:textId="77777777" w:rsidTr="005A73EF">
        <w:trPr>
          <w:trHeight w:val="408"/>
        </w:trPr>
        <w:tc>
          <w:tcPr>
            <w:tcW w:w="1798" w:type="dxa"/>
          </w:tcPr>
          <w:p w14:paraId="727475FD" w14:textId="50F8FAC7" w:rsidR="00C4140D" w:rsidRPr="007B3B90" w:rsidRDefault="00C4140D" w:rsidP="00442D0D">
            <w:pPr>
              <w:rPr>
                <w:color w:val="000000"/>
                <w:sz w:val="20"/>
                <w:szCs w:val="20"/>
              </w:rPr>
            </w:pPr>
            <w:r w:rsidRPr="007B3B90">
              <w:rPr>
                <w:color w:val="000000"/>
                <w:sz w:val="20"/>
                <w:szCs w:val="20"/>
              </w:rPr>
              <w:t xml:space="preserve">PSSRU </w:t>
            </w:r>
          </w:p>
        </w:tc>
        <w:tc>
          <w:tcPr>
            <w:tcW w:w="7301" w:type="dxa"/>
          </w:tcPr>
          <w:p w14:paraId="78DF61F8" w14:textId="027AF050" w:rsidR="00C4140D" w:rsidRPr="007B3B90" w:rsidRDefault="00D805B6" w:rsidP="00442D0D">
            <w:pPr>
              <w:rPr>
                <w:color w:val="000000"/>
                <w:sz w:val="20"/>
                <w:szCs w:val="20"/>
              </w:rPr>
            </w:pPr>
            <w:r w:rsidRPr="007B3B90">
              <w:rPr>
                <w:color w:val="000000"/>
                <w:sz w:val="20"/>
                <w:szCs w:val="20"/>
              </w:rPr>
              <w:t>Unit costs for health and social care</w:t>
            </w:r>
          </w:p>
        </w:tc>
      </w:tr>
      <w:tr w:rsidR="00C4140D" w:rsidRPr="007B3B90" w14:paraId="67D4843A" w14:textId="77777777" w:rsidTr="005A73EF">
        <w:trPr>
          <w:trHeight w:val="408"/>
        </w:trPr>
        <w:tc>
          <w:tcPr>
            <w:tcW w:w="1798" w:type="dxa"/>
          </w:tcPr>
          <w:p w14:paraId="0AC2AFD8" w14:textId="51223748" w:rsidR="00C4140D" w:rsidRPr="007B3B90" w:rsidRDefault="00C4140D" w:rsidP="00442D0D">
            <w:pPr>
              <w:rPr>
                <w:color w:val="000000"/>
                <w:sz w:val="20"/>
                <w:szCs w:val="20"/>
              </w:rPr>
            </w:pPr>
            <w:r w:rsidRPr="007B3B90">
              <w:rPr>
                <w:color w:val="000000"/>
                <w:sz w:val="20"/>
                <w:szCs w:val="20"/>
              </w:rPr>
              <w:t xml:space="preserve">STAR </w:t>
            </w:r>
          </w:p>
        </w:tc>
        <w:tc>
          <w:tcPr>
            <w:tcW w:w="7301" w:type="dxa"/>
          </w:tcPr>
          <w:p w14:paraId="69E09582" w14:textId="19AA5638" w:rsidR="00C4140D" w:rsidRPr="007B3B90" w:rsidRDefault="00D805B6" w:rsidP="00442D0D">
            <w:pPr>
              <w:rPr>
                <w:color w:val="000000"/>
                <w:sz w:val="20"/>
                <w:szCs w:val="20"/>
              </w:rPr>
            </w:pPr>
            <w:proofErr w:type="spellStart"/>
            <w:r w:rsidRPr="007B3B90">
              <w:rPr>
                <w:color w:val="000000"/>
                <w:sz w:val="20"/>
                <w:szCs w:val="20"/>
              </w:rPr>
              <w:t>Shor</w:t>
            </w:r>
            <w:r w:rsidR="00D4591F" w:rsidRPr="007B3B90">
              <w:rPr>
                <w:color w:val="000000"/>
                <w:sz w:val="20"/>
                <w:szCs w:val="20"/>
              </w:rPr>
              <w:t>T</w:t>
            </w:r>
            <w:proofErr w:type="spellEnd"/>
            <w:r w:rsidRPr="007B3B90">
              <w:rPr>
                <w:color w:val="000000"/>
                <w:sz w:val="20"/>
                <w:szCs w:val="20"/>
              </w:rPr>
              <w:t xml:space="preserve"> </w:t>
            </w:r>
            <w:r w:rsidR="00D4591F" w:rsidRPr="007B3B90">
              <w:rPr>
                <w:color w:val="000000"/>
                <w:sz w:val="20"/>
                <w:szCs w:val="20"/>
              </w:rPr>
              <w:t>s</w:t>
            </w:r>
            <w:r w:rsidRPr="007B3B90">
              <w:rPr>
                <w:color w:val="000000"/>
                <w:sz w:val="20"/>
                <w:szCs w:val="20"/>
              </w:rPr>
              <w:t>tay Aneurysm Repair (detailed in this protocol)</w:t>
            </w:r>
          </w:p>
        </w:tc>
      </w:tr>
      <w:tr w:rsidR="00B20F45" w:rsidRPr="007B3B90" w14:paraId="4D721B61" w14:textId="77777777" w:rsidTr="005A73EF">
        <w:trPr>
          <w:trHeight w:val="408"/>
        </w:trPr>
        <w:tc>
          <w:tcPr>
            <w:tcW w:w="1798" w:type="dxa"/>
          </w:tcPr>
          <w:p w14:paraId="3728D5E3" w14:textId="6222E3E8" w:rsidR="00B20F45" w:rsidRPr="007B3B90" w:rsidRDefault="00B20F45" w:rsidP="00442D0D">
            <w:pPr>
              <w:rPr>
                <w:color w:val="000000"/>
                <w:sz w:val="20"/>
                <w:szCs w:val="20"/>
              </w:rPr>
            </w:pPr>
            <w:r>
              <w:rPr>
                <w:color w:val="000000"/>
                <w:sz w:val="20"/>
                <w:szCs w:val="20"/>
              </w:rPr>
              <w:t xml:space="preserve">UTI </w:t>
            </w:r>
          </w:p>
        </w:tc>
        <w:tc>
          <w:tcPr>
            <w:tcW w:w="7301" w:type="dxa"/>
          </w:tcPr>
          <w:p w14:paraId="34A23258" w14:textId="2E611C0D" w:rsidR="00B20F45" w:rsidRPr="007B3B90" w:rsidRDefault="00B20F45" w:rsidP="00442D0D">
            <w:pPr>
              <w:rPr>
                <w:color w:val="000000"/>
                <w:sz w:val="20"/>
                <w:szCs w:val="20"/>
              </w:rPr>
            </w:pPr>
            <w:r>
              <w:rPr>
                <w:color w:val="000000"/>
                <w:sz w:val="20"/>
                <w:szCs w:val="20"/>
              </w:rPr>
              <w:t>Urinary Tract Infection</w:t>
            </w:r>
          </w:p>
        </w:tc>
      </w:tr>
    </w:tbl>
    <w:p w14:paraId="525DBB4B" w14:textId="77777777" w:rsidR="00663512" w:rsidRPr="007B3B90" w:rsidRDefault="00663512" w:rsidP="00663512">
      <w:pPr>
        <w:rPr>
          <w:sz w:val="28"/>
          <w:szCs w:val="28"/>
        </w:rPr>
      </w:pPr>
    </w:p>
    <w:p w14:paraId="70E70B67" w14:textId="77777777" w:rsidR="00BE7282" w:rsidRPr="007B3B90" w:rsidRDefault="00BE7282" w:rsidP="00663512">
      <w:pPr>
        <w:rPr>
          <w:b/>
          <w:caps/>
          <w:sz w:val="28"/>
          <w:szCs w:val="28"/>
        </w:rPr>
      </w:pPr>
    </w:p>
    <w:p w14:paraId="77A19776" w14:textId="432A7909" w:rsidR="00663512" w:rsidRPr="007B3B90" w:rsidRDefault="00663512" w:rsidP="00663512">
      <w:pPr>
        <w:rPr>
          <w:b/>
          <w:caps/>
          <w:sz w:val="28"/>
          <w:szCs w:val="28"/>
        </w:rPr>
      </w:pPr>
      <w:r w:rsidRPr="007B3B90">
        <w:rPr>
          <w:b/>
          <w:caps/>
          <w:sz w:val="28"/>
          <w:szCs w:val="28"/>
        </w:rPr>
        <w:lastRenderedPageBreak/>
        <w:t>Keywords</w:t>
      </w:r>
    </w:p>
    <w:p w14:paraId="11164A8A" w14:textId="77777777" w:rsidR="0009679E" w:rsidRPr="007B3B90" w:rsidRDefault="0009679E" w:rsidP="00442D0D">
      <w:pPr>
        <w:rPr>
          <w:color w:val="000000"/>
          <w:sz w:val="20"/>
          <w:szCs w:val="20"/>
        </w:rPr>
      </w:pPr>
    </w:p>
    <w:p w14:paraId="3FC238DC" w14:textId="1FB4AF18" w:rsidR="00442D0D" w:rsidRPr="007B3B90" w:rsidRDefault="00442D0D" w:rsidP="00442D0D">
      <w:pPr>
        <w:rPr>
          <w:color w:val="000000"/>
        </w:rPr>
      </w:pPr>
      <w:r w:rsidRPr="007B3B90">
        <w:rPr>
          <w:color w:val="000000"/>
        </w:rPr>
        <w:t>Abdominal aortic aneurysm; Day case; Endovascular aneurysm repair; Short stay.</w:t>
      </w:r>
    </w:p>
    <w:p w14:paraId="2470C775" w14:textId="77777777" w:rsidR="0009679E" w:rsidRPr="007B3B90" w:rsidRDefault="0009679E" w:rsidP="00663512">
      <w:pPr>
        <w:rPr>
          <w:sz w:val="28"/>
          <w:szCs w:val="28"/>
        </w:rPr>
      </w:pPr>
    </w:p>
    <w:p w14:paraId="290F181D" w14:textId="45E2AF6D" w:rsidR="00663512" w:rsidRPr="007B3B90" w:rsidRDefault="00663512" w:rsidP="00663512">
      <w:pPr>
        <w:rPr>
          <w:b/>
          <w:caps/>
          <w:sz w:val="28"/>
          <w:szCs w:val="28"/>
        </w:rPr>
      </w:pPr>
      <w:r w:rsidRPr="007B3B90">
        <w:rPr>
          <w:b/>
          <w:caps/>
          <w:sz w:val="28"/>
          <w:szCs w:val="28"/>
        </w:rPr>
        <w:t>Study Summary</w:t>
      </w:r>
    </w:p>
    <w:p w14:paraId="431CD77E" w14:textId="77777777" w:rsidR="00663512" w:rsidRPr="007B3B90" w:rsidRDefault="00663512" w:rsidP="00663512">
      <w:pPr>
        <w:rPr>
          <w:sz w:val="28"/>
          <w:szCs w:val="28"/>
        </w:rPr>
      </w:pPr>
    </w:p>
    <w:tbl>
      <w:tblPr>
        <w:tblW w:w="10807" w:type="dxa"/>
        <w:tblInd w:w="-459" w:type="dxa"/>
        <w:tblLayout w:type="fixed"/>
        <w:tblLook w:val="0000" w:firstRow="0" w:lastRow="0" w:firstColumn="0" w:lastColumn="0" w:noHBand="0" w:noVBand="0"/>
      </w:tblPr>
      <w:tblGrid>
        <w:gridCol w:w="2779"/>
        <w:gridCol w:w="8028"/>
      </w:tblGrid>
      <w:tr w:rsidR="00663512" w:rsidRPr="007B3B90" w14:paraId="2AD9DC61" w14:textId="77777777" w:rsidTr="00AB0314">
        <w:tc>
          <w:tcPr>
            <w:tcW w:w="2779" w:type="dxa"/>
          </w:tcPr>
          <w:p w14:paraId="4483D723" w14:textId="77777777" w:rsidR="00663512" w:rsidRPr="007B3B90" w:rsidRDefault="00663512" w:rsidP="0009679E">
            <w:pPr>
              <w:spacing w:before="60" w:after="60"/>
              <w:jc w:val="right"/>
              <w:rPr>
                <w:b/>
                <w:color w:val="000000"/>
                <w:sz w:val="23"/>
              </w:rPr>
            </w:pPr>
            <w:r w:rsidRPr="007B3B90">
              <w:rPr>
                <w:b/>
                <w:color w:val="000000"/>
                <w:sz w:val="23"/>
              </w:rPr>
              <w:t>TITLE</w:t>
            </w:r>
          </w:p>
        </w:tc>
        <w:tc>
          <w:tcPr>
            <w:tcW w:w="8028" w:type="dxa"/>
          </w:tcPr>
          <w:p w14:paraId="010C0056" w14:textId="537F5F17" w:rsidR="005A73EF" w:rsidRPr="007B3B90" w:rsidRDefault="005A73EF" w:rsidP="0095568B">
            <w:pPr>
              <w:tabs>
                <w:tab w:val="left" w:pos="9639"/>
                <w:tab w:val="left" w:pos="9781"/>
                <w:tab w:val="left" w:pos="10065"/>
              </w:tabs>
              <w:ind w:left="567" w:right="1803"/>
              <w:jc w:val="both"/>
              <w:rPr>
                <w:rFonts w:cs="Arial"/>
                <w:iCs/>
              </w:rPr>
            </w:pPr>
            <w:proofErr w:type="spellStart"/>
            <w:r w:rsidRPr="007B3B90">
              <w:rPr>
                <w:color w:val="000000"/>
              </w:rPr>
              <w:t>ShorT</w:t>
            </w:r>
            <w:proofErr w:type="spellEnd"/>
            <w:r w:rsidRPr="007B3B90">
              <w:rPr>
                <w:color w:val="000000"/>
              </w:rPr>
              <w:t xml:space="preserve"> stay Aneurysm Repair (STAR): </w:t>
            </w:r>
            <w:r w:rsidR="003C4421">
              <w:rPr>
                <w:color w:val="000000"/>
              </w:rPr>
              <w:t>A</w:t>
            </w:r>
            <w:r w:rsidRPr="007B3B90">
              <w:rPr>
                <w:color w:val="000000"/>
              </w:rPr>
              <w:t xml:space="preserve"> 23-hour endovascular abdominal aortic aneurysm repair pathway with evaluation of eligibility, uptake, viability, acceptability, safety and cost</w:t>
            </w:r>
            <w:r w:rsidRPr="007B3B90">
              <w:rPr>
                <w:rFonts w:cs="Arial"/>
                <w:iCs/>
              </w:rPr>
              <w:t>.</w:t>
            </w:r>
          </w:p>
          <w:p w14:paraId="10E135CE" w14:textId="5F13435C" w:rsidR="00663512" w:rsidRPr="007B3B90" w:rsidRDefault="00663512" w:rsidP="00B6108A">
            <w:pPr>
              <w:spacing w:before="60" w:after="60"/>
              <w:jc w:val="both"/>
              <w:rPr>
                <w:color w:val="000000"/>
                <w:sz w:val="23"/>
              </w:rPr>
            </w:pPr>
          </w:p>
        </w:tc>
      </w:tr>
      <w:tr w:rsidR="00663512" w:rsidRPr="007B3B90" w14:paraId="5386C4B3" w14:textId="77777777" w:rsidTr="00AB0314">
        <w:tc>
          <w:tcPr>
            <w:tcW w:w="2779" w:type="dxa"/>
          </w:tcPr>
          <w:p w14:paraId="02E84617" w14:textId="77777777" w:rsidR="00663512" w:rsidRPr="007B3B90" w:rsidRDefault="00663512" w:rsidP="0009679E">
            <w:pPr>
              <w:spacing w:before="60" w:after="60"/>
              <w:jc w:val="right"/>
              <w:rPr>
                <w:b/>
                <w:color w:val="000000"/>
                <w:sz w:val="23"/>
              </w:rPr>
            </w:pPr>
            <w:r w:rsidRPr="007B3B90">
              <w:rPr>
                <w:b/>
                <w:color w:val="000000"/>
                <w:sz w:val="23"/>
              </w:rPr>
              <w:t>DESIGN</w:t>
            </w:r>
          </w:p>
        </w:tc>
        <w:tc>
          <w:tcPr>
            <w:tcW w:w="8028" w:type="dxa"/>
          </w:tcPr>
          <w:p w14:paraId="0E3C0D78" w14:textId="0189DE8B" w:rsidR="005A73EF" w:rsidRPr="007B3B90" w:rsidRDefault="005A73EF" w:rsidP="00AB0314">
            <w:pPr>
              <w:ind w:left="567" w:right="1803"/>
              <w:jc w:val="both"/>
              <w:rPr>
                <w:color w:val="000000"/>
              </w:rPr>
            </w:pPr>
            <w:r w:rsidRPr="007B3B90">
              <w:rPr>
                <w:color w:val="000000"/>
              </w:rPr>
              <w:t xml:space="preserve">A prospective observational cohort study to assess the eligibility, uptake, viability, acceptability, safety and cost of a </w:t>
            </w:r>
            <w:proofErr w:type="spellStart"/>
            <w:r w:rsidRPr="007B3B90">
              <w:rPr>
                <w:color w:val="000000"/>
              </w:rPr>
              <w:t>ShorT</w:t>
            </w:r>
            <w:proofErr w:type="spellEnd"/>
            <w:r w:rsidRPr="007B3B90">
              <w:rPr>
                <w:color w:val="000000"/>
              </w:rPr>
              <w:t xml:space="preserve"> stay (23-hour) Aneurysm Repair (STAR) pathway. </w:t>
            </w:r>
            <w:r w:rsidR="00695741" w:rsidRPr="007B3B90">
              <w:rPr>
                <w:color w:val="000000"/>
              </w:rPr>
              <w:t>Outcomes will be collected up to 1 year.</w:t>
            </w:r>
          </w:p>
          <w:p w14:paraId="23D59375" w14:textId="194885A7" w:rsidR="00663512" w:rsidRPr="007B3B90" w:rsidRDefault="00663512" w:rsidP="00B6108A">
            <w:pPr>
              <w:spacing w:before="60" w:after="60"/>
              <w:jc w:val="both"/>
              <w:rPr>
                <w:color w:val="000000"/>
                <w:sz w:val="23"/>
              </w:rPr>
            </w:pPr>
          </w:p>
        </w:tc>
      </w:tr>
      <w:tr w:rsidR="00663512" w:rsidRPr="007B3B90" w14:paraId="4A997A55" w14:textId="77777777" w:rsidTr="00AB0314">
        <w:tc>
          <w:tcPr>
            <w:tcW w:w="2779" w:type="dxa"/>
          </w:tcPr>
          <w:p w14:paraId="7434E5A9" w14:textId="77777777" w:rsidR="00663512" w:rsidRPr="007B3B90" w:rsidRDefault="00663512" w:rsidP="0009679E">
            <w:pPr>
              <w:spacing w:before="60" w:after="60"/>
              <w:jc w:val="right"/>
              <w:rPr>
                <w:b/>
                <w:color w:val="000000"/>
                <w:sz w:val="23"/>
              </w:rPr>
            </w:pPr>
            <w:r w:rsidRPr="007B3B90">
              <w:rPr>
                <w:b/>
                <w:color w:val="000000"/>
                <w:sz w:val="23"/>
              </w:rPr>
              <w:t>AIMS</w:t>
            </w:r>
          </w:p>
        </w:tc>
        <w:tc>
          <w:tcPr>
            <w:tcW w:w="8028" w:type="dxa"/>
          </w:tcPr>
          <w:p w14:paraId="5FA98C5B" w14:textId="363224B1" w:rsidR="005A73EF" w:rsidRPr="007B3B90" w:rsidRDefault="005A73EF" w:rsidP="00AB0314">
            <w:pPr>
              <w:ind w:left="567" w:right="1803"/>
              <w:jc w:val="both"/>
              <w:rPr>
                <w:color w:val="000000"/>
              </w:rPr>
            </w:pPr>
            <w:r w:rsidRPr="007B3B90">
              <w:rPr>
                <w:color w:val="000000"/>
              </w:rPr>
              <w:t xml:space="preserve">This study aims to build on previous experience and background studies to formally assess a </w:t>
            </w:r>
            <w:proofErr w:type="spellStart"/>
            <w:r w:rsidRPr="007B3B90">
              <w:rPr>
                <w:color w:val="000000"/>
              </w:rPr>
              <w:t>ShorT</w:t>
            </w:r>
            <w:proofErr w:type="spellEnd"/>
            <w:r w:rsidRPr="007B3B90">
              <w:rPr>
                <w:color w:val="000000"/>
              </w:rPr>
              <w:t xml:space="preserve"> stay Aneurysm Repair (STAR) pathway accommodating patient, organizational, community, and social needs </w:t>
            </w:r>
            <w:r w:rsidR="00406501" w:rsidRPr="007B3B90">
              <w:rPr>
                <w:color w:val="000000"/>
              </w:rPr>
              <w:t xml:space="preserve">to </w:t>
            </w:r>
            <w:r w:rsidRPr="007B3B90">
              <w:rPr>
                <w:color w:val="000000"/>
              </w:rPr>
              <w:t>ensure patient safety.</w:t>
            </w:r>
          </w:p>
          <w:p w14:paraId="2C5B6E0C" w14:textId="246F5F59" w:rsidR="00663512" w:rsidRPr="007B3B90" w:rsidRDefault="00663512" w:rsidP="00B6108A">
            <w:pPr>
              <w:spacing w:before="60" w:after="60"/>
              <w:jc w:val="both"/>
              <w:rPr>
                <w:color w:val="000000"/>
                <w:sz w:val="23"/>
              </w:rPr>
            </w:pPr>
          </w:p>
        </w:tc>
      </w:tr>
      <w:tr w:rsidR="00663512" w:rsidRPr="007B3B90" w14:paraId="1C808506" w14:textId="77777777" w:rsidTr="00AB0314">
        <w:tc>
          <w:tcPr>
            <w:tcW w:w="2779" w:type="dxa"/>
          </w:tcPr>
          <w:p w14:paraId="7CF6DCA7" w14:textId="77777777" w:rsidR="00663512" w:rsidRPr="007B3B90" w:rsidRDefault="00663512" w:rsidP="0009679E">
            <w:pPr>
              <w:spacing w:before="60" w:after="60"/>
              <w:ind w:left="-73" w:firstLine="73"/>
              <w:jc w:val="right"/>
              <w:rPr>
                <w:b/>
                <w:color w:val="000000"/>
                <w:sz w:val="23"/>
              </w:rPr>
            </w:pPr>
            <w:r w:rsidRPr="007B3B90">
              <w:rPr>
                <w:b/>
                <w:color w:val="000000"/>
                <w:sz w:val="23"/>
              </w:rPr>
              <w:t>OUTCOME MEASURES</w:t>
            </w:r>
          </w:p>
        </w:tc>
        <w:tc>
          <w:tcPr>
            <w:tcW w:w="8028" w:type="dxa"/>
          </w:tcPr>
          <w:p w14:paraId="1E9D0808" w14:textId="46ADD6CA" w:rsidR="005A73EF" w:rsidRPr="007B3B90" w:rsidRDefault="005A73EF" w:rsidP="00376E48">
            <w:pPr>
              <w:ind w:left="550" w:right="1735"/>
              <w:jc w:val="both"/>
              <w:rPr>
                <w:color w:val="000000"/>
              </w:rPr>
            </w:pPr>
            <w:r w:rsidRPr="007B3B90">
              <w:rPr>
                <w:color w:val="000000"/>
              </w:rPr>
              <w:t>Formal assessment of the short-stay pathway will report on:</w:t>
            </w:r>
          </w:p>
          <w:p w14:paraId="2874CEC2" w14:textId="77777777" w:rsidR="005A73EF" w:rsidRPr="007B3B90" w:rsidRDefault="005A73EF" w:rsidP="00376E48">
            <w:pPr>
              <w:ind w:left="550" w:right="1735"/>
              <w:jc w:val="both"/>
              <w:rPr>
                <w:color w:val="000000"/>
              </w:rPr>
            </w:pPr>
          </w:p>
          <w:p w14:paraId="0949EDDB" w14:textId="1615E551" w:rsidR="005A73EF" w:rsidRPr="007B3B90" w:rsidRDefault="005A73EF" w:rsidP="00376E48">
            <w:pPr>
              <w:pStyle w:val="ListParagraph"/>
              <w:numPr>
                <w:ilvl w:val="0"/>
                <w:numId w:val="23"/>
              </w:numPr>
              <w:ind w:left="550" w:right="1735"/>
              <w:jc w:val="both"/>
              <w:rPr>
                <w:color w:val="000000"/>
              </w:rPr>
            </w:pPr>
            <w:r w:rsidRPr="007B3B90">
              <w:rPr>
                <w:color w:val="000000"/>
              </w:rPr>
              <w:t>Proportion of patients suitable for a short stay pathway (eligibility)</w:t>
            </w:r>
          </w:p>
          <w:p w14:paraId="7436A0F4" w14:textId="610B1769" w:rsidR="005A73EF" w:rsidRPr="007B3B90" w:rsidRDefault="005A73EF" w:rsidP="00376E48">
            <w:pPr>
              <w:pStyle w:val="ListParagraph"/>
              <w:numPr>
                <w:ilvl w:val="0"/>
                <w:numId w:val="23"/>
              </w:numPr>
              <w:ind w:left="550" w:right="1735"/>
              <w:jc w:val="both"/>
              <w:rPr>
                <w:color w:val="000000"/>
              </w:rPr>
            </w:pPr>
            <w:r w:rsidRPr="007B3B90">
              <w:rPr>
                <w:color w:val="000000"/>
              </w:rPr>
              <w:t>Proportion of patients who will accept admission to this pathway (uptake)</w:t>
            </w:r>
          </w:p>
          <w:p w14:paraId="6EC9ABE5" w14:textId="370346EB" w:rsidR="005A73EF" w:rsidRPr="007B3B90" w:rsidRDefault="005A73EF" w:rsidP="00376E48">
            <w:pPr>
              <w:pStyle w:val="ListParagraph"/>
              <w:numPr>
                <w:ilvl w:val="0"/>
                <w:numId w:val="23"/>
              </w:numPr>
              <w:ind w:left="550" w:right="1735"/>
              <w:jc w:val="both"/>
              <w:rPr>
                <w:color w:val="000000"/>
              </w:rPr>
            </w:pPr>
            <w:r w:rsidRPr="007B3B90">
              <w:rPr>
                <w:color w:val="000000"/>
              </w:rPr>
              <w:t xml:space="preserve">Proportion of patients admitted to the short-stay pathway that </w:t>
            </w:r>
            <w:r w:rsidR="004C5C56" w:rsidRPr="007B3B90">
              <w:rPr>
                <w:color w:val="000000"/>
              </w:rPr>
              <w:t>can</w:t>
            </w:r>
            <w:r w:rsidRPr="007B3B90">
              <w:rPr>
                <w:color w:val="000000"/>
              </w:rPr>
              <w:t xml:space="preserve"> be discharged at 23-hours (viability)</w:t>
            </w:r>
          </w:p>
          <w:p w14:paraId="49D468C0" w14:textId="6EC7576C" w:rsidR="005A73EF" w:rsidRPr="007B3B90" w:rsidRDefault="005A73EF" w:rsidP="00376E48">
            <w:pPr>
              <w:pStyle w:val="ListParagraph"/>
              <w:numPr>
                <w:ilvl w:val="0"/>
                <w:numId w:val="23"/>
              </w:numPr>
              <w:ind w:left="550" w:right="1735"/>
              <w:jc w:val="both"/>
              <w:rPr>
                <w:color w:val="000000"/>
              </w:rPr>
            </w:pPr>
            <w:r w:rsidRPr="007B3B90">
              <w:rPr>
                <w:color w:val="000000"/>
              </w:rPr>
              <w:t>Patient</w:t>
            </w:r>
            <w:r w:rsidR="00BE002B" w:rsidRPr="007B3B90">
              <w:rPr>
                <w:color w:val="000000"/>
              </w:rPr>
              <w:t>s’</w:t>
            </w:r>
            <w:r w:rsidRPr="007B3B90">
              <w:rPr>
                <w:color w:val="000000"/>
              </w:rPr>
              <w:t xml:space="preserve"> </w:t>
            </w:r>
            <w:r w:rsidR="00BE002B" w:rsidRPr="007B3B90">
              <w:rPr>
                <w:color w:val="000000"/>
              </w:rPr>
              <w:t xml:space="preserve">treatment </w:t>
            </w:r>
            <w:r w:rsidRPr="007B3B90">
              <w:rPr>
                <w:color w:val="000000"/>
              </w:rPr>
              <w:t>satisfaction</w:t>
            </w:r>
            <w:r w:rsidR="00BE002B" w:rsidRPr="007B3B90">
              <w:rPr>
                <w:color w:val="000000"/>
              </w:rPr>
              <w:t>,</w:t>
            </w:r>
            <w:r w:rsidRPr="007B3B90">
              <w:rPr>
                <w:color w:val="000000"/>
              </w:rPr>
              <w:t xml:space="preserve"> quality of life </w:t>
            </w:r>
            <w:r w:rsidR="00BE002B" w:rsidRPr="007B3B90">
              <w:rPr>
                <w:color w:val="000000"/>
              </w:rPr>
              <w:t xml:space="preserve">(QoL) and the impact of AAA and its treatment on QoL </w:t>
            </w:r>
            <w:r w:rsidRPr="007B3B90">
              <w:rPr>
                <w:color w:val="000000"/>
              </w:rPr>
              <w:t xml:space="preserve">after the short stay pathway at </w:t>
            </w:r>
            <w:r w:rsidR="004E5F39">
              <w:rPr>
                <w:color w:val="000000"/>
              </w:rPr>
              <w:t xml:space="preserve">30 days, </w:t>
            </w:r>
            <w:r w:rsidR="00695741" w:rsidRPr="007B3B90">
              <w:rPr>
                <w:color w:val="000000"/>
              </w:rPr>
              <w:t>3 and</w:t>
            </w:r>
            <w:r w:rsidRPr="007B3B90">
              <w:rPr>
                <w:color w:val="000000"/>
              </w:rPr>
              <w:t xml:space="preserve"> 6</w:t>
            </w:r>
            <w:r w:rsidR="00695741" w:rsidRPr="007B3B90">
              <w:rPr>
                <w:color w:val="000000"/>
              </w:rPr>
              <w:t xml:space="preserve"> </w:t>
            </w:r>
            <w:r w:rsidRPr="007B3B90">
              <w:rPr>
                <w:color w:val="000000"/>
              </w:rPr>
              <w:t>months</w:t>
            </w:r>
            <w:r w:rsidR="0040286E" w:rsidRPr="007B3B90">
              <w:rPr>
                <w:color w:val="000000"/>
              </w:rPr>
              <w:t>.</w:t>
            </w:r>
          </w:p>
          <w:p w14:paraId="74C371A0" w14:textId="3CB65CC3" w:rsidR="005A73EF" w:rsidRPr="007B3B90" w:rsidRDefault="005A73EF" w:rsidP="00376E48">
            <w:pPr>
              <w:pStyle w:val="ListParagraph"/>
              <w:numPr>
                <w:ilvl w:val="0"/>
                <w:numId w:val="23"/>
              </w:numPr>
              <w:ind w:left="550" w:right="1735"/>
              <w:jc w:val="both"/>
              <w:rPr>
                <w:color w:val="000000"/>
              </w:rPr>
            </w:pPr>
            <w:r w:rsidRPr="007B3B90">
              <w:rPr>
                <w:color w:val="000000"/>
              </w:rPr>
              <w:t>Rate of device-related and other adverse events, readmission, mortality (at 30</w:t>
            </w:r>
            <w:r w:rsidR="007A38EA" w:rsidRPr="007B3B90">
              <w:rPr>
                <w:color w:val="000000"/>
              </w:rPr>
              <w:t xml:space="preserve">, </w:t>
            </w:r>
            <w:r w:rsidR="0012595F" w:rsidRPr="007B3B90">
              <w:rPr>
                <w:color w:val="000000"/>
              </w:rPr>
              <w:t xml:space="preserve">90 days </w:t>
            </w:r>
            <w:r w:rsidRPr="007B3B90">
              <w:rPr>
                <w:color w:val="000000"/>
              </w:rPr>
              <w:t xml:space="preserve">6 </w:t>
            </w:r>
            <w:r w:rsidR="00406501" w:rsidRPr="007B3B90">
              <w:rPr>
                <w:color w:val="000000"/>
              </w:rPr>
              <w:t xml:space="preserve">and 12 </w:t>
            </w:r>
            <w:r w:rsidRPr="007B3B90">
              <w:rPr>
                <w:color w:val="000000"/>
              </w:rPr>
              <w:t>months) of patients</w:t>
            </w:r>
            <w:r w:rsidR="00695741" w:rsidRPr="007B3B90">
              <w:rPr>
                <w:color w:val="000000"/>
              </w:rPr>
              <w:t>.</w:t>
            </w:r>
          </w:p>
          <w:p w14:paraId="2A65C817" w14:textId="2D8C99D5" w:rsidR="000D5959" w:rsidRPr="007B3B90" w:rsidRDefault="005A73EF" w:rsidP="00376E48">
            <w:pPr>
              <w:pStyle w:val="ListParagraph"/>
              <w:numPr>
                <w:ilvl w:val="0"/>
                <w:numId w:val="23"/>
              </w:numPr>
              <w:ind w:left="550" w:right="1735"/>
              <w:jc w:val="both"/>
            </w:pPr>
            <w:r w:rsidRPr="007B3B90">
              <w:rPr>
                <w:color w:val="000000"/>
              </w:rPr>
              <w:t>Costs</w:t>
            </w:r>
            <w:r w:rsidR="000D5959" w:rsidRPr="007B3B90">
              <w:rPr>
                <w:color w:val="000000"/>
              </w:rPr>
              <w:t xml:space="preserve"> </w:t>
            </w:r>
            <w:r w:rsidR="0012595F" w:rsidRPr="007B3B90">
              <w:rPr>
                <w:color w:val="000000"/>
              </w:rPr>
              <w:t>up to 6 months.</w:t>
            </w:r>
          </w:p>
          <w:p w14:paraId="61EFF4F6" w14:textId="56FB677F" w:rsidR="000D5959" w:rsidRPr="007B3B90" w:rsidRDefault="005A73EF" w:rsidP="00376E48">
            <w:pPr>
              <w:pStyle w:val="ListParagraph"/>
              <w:numPr>
                <w:ilvl w:val="0"/>
                <w:numId w:val="23"/>
              </w:numPr>
              <w:ind w:left="550" w:right="1735"/>
              <w:jc w:val="both"/>
            </w:pPr>
            <w:r w:rsidRPr="007B3B90">
              <w:rPr>
                <w:color w:val="000000"/>
              </w:rPr>
              <w:t>Qualitative data will also be collected describing the experiences, worries and concerns of patients, families and GPs; the key barriers and drivers to implementation of a 23-hour pathway.</w:t>
            </w:r>
          </w:p>
          <w:p w14:paraId="0AF43128" w14:textId="16AE8498" w:rsidR="00663512" w:rsidRPr="007B3B90" w:rsidRDefault="00406501" w:rsidP="00376E48">
            <w:pPr>
              <w:pStyle w:val="ListParagraph"/>
              <w:numPr>
                <w:ilvl w:val="0"/>
                <w:numId w:val="23"/>
              </w:numPr>
              <w:ind w:left="550" w:right="1735"/>
              <w:jc w:val="both"/>
              <w:rPr>
                <w:color w:val="000000"/>
              </w:rPr>
            </w:pPr>
            <w:r w:rsidRPr="007B3B90">
              <w:rPr>
                <w:color w:val="000000"/>
              </w:rPr>
              <w:t xml:space="preserve">Finally, </w:t>
            </w:r>
            <w:r w:rsidR="005A73EF" w:rsidRPr="007B3B90">
              <w:rPr>
                <w:color w:val="000000"/>
              </w:rPr>
              <w:t xml:space="preserve">a ‘tool-kit’, which may be used for implementation of a short-stay pathway in a wider </w:t>
            </w:r>
            <w:r w:rsidR="005A73EF" w:rsidRPr="007B3B90">
              <w:rPr>
                <w:color w:val="000000"/>
              </w:rPr>
              <w:lastRenderedPageBreak/>
              <w:t>group will be produced</w:t>
            </w:r>
            <w:r w:rsidRPr="007B3B90">
              <w:rPr>
                <w:color w:val="000000"/>
              </w:rPr>
              <w:t xml:space="preserve"> if there </w:t>
            </w:r>
            <w:r w:rsidR="000D5959" w:rsidRPr="007B3B90">
              <w:rPr>
                <w:color w:val="000000"/>
              </w:rPr>
              <w:t xml:space="preserve">are a significant proportion eligible and accepting the pathway and the pathway is viable without perceived </w:t>
            </w:r>
            <w:r w:rsidR="0039581A" w:rsidRPr="007B3B90">
              <w:rPr>
                <w:color w:val="000000"/>
              </w:rPr>
              <w:t>safety issues</w:t>
            </w:r>
            <w:r w:rsidR="000D5959" w:rsidRPr="007B3B90">
              <w:rPr>
                <w:color w:val="000000"/>
              </w:rPr>
              <w:t>.</w:t>
            </w:r>
          </w:p>
          <w:p w14:paraId="257BE157" w14:textId="0F6E064B" w:rsidR="005A73EF" w:rsidRPr="007B3B90" w:rsidRDefault="005A73EF" w:rsidP="00376E48">
            <w:pPr>
              <w:spacing w:before="60" w:after="60"/>
              <w:ind w:left="550" w:right="1735"/>
              <w:jc w:val="both"/>
              <w:rPr>
                <w:color w:val="000000"/>
                <w:sz w:val="23"/>
              </w:rPr>
            </w:pPr>
          </w:p>
        </w:tc>
      </w:tr>
      <w:tr w:rsidR="00663512" w:rsidRPr="007B3B90" w14:paraId="40E4C39D" w14:textId="77777777" w:rsidTr="00AB0314">
        <w:tc>
          <w:tcPr>
            <w:tcW w:w="2779" w:type="dxa"/>
          </w:tcPr>
          <w:p w14:paraId="097BF66C" w14:textId="77777777" w:rsidR="00663512" w:rsidRPr="007B3B90" w:rsidRDefault="00663512" w:rsidP="0009679E">
            <w:pPr>
              <w:spacing w:before="60" w:after="60"/>
              <w:jc w:val="right"/>
              <w:rPr>
                <w:b/>
                <w:color w:val="000000"/>
                <w:sz w:val="23"/>
              </w:rPr>
            </w:pPr>
            <w:r w:rsidRPr="007B3B90">
              <w:rPr>
                <w:b/>
                <w:color w:val="000000"/>
                <w:sz w:val="23"/>
              </w:rPr>
              <w:lastRenderedPageBreak/>
              <w:t>POPULATION</w:t>
            </w:r>
          </w:p>
        </w:tc>
        <w:tc>
          <w:tcPr>
            <w:tcW w:w="8028" w:type="dxa"/>
          </w:tcPr>
          <w:p w14:paraId="0207C335" w14:textId="6F7A123C" w:rsidR="005A73EF" w:rsidRPr="007B3B90" w:rsidRDefault="005A73EF" w:rsidP="00376E48">
            <w:pPr>
              <w:pStyle w:val="Helvetica"/>
              <w:spacing w:before="60" w:after="60"/>
              <w:ind w:left="550" w:right="1735"/>
              <w:jc w:val="both"/>
              <w:rPr>
                <w:rFonts w:ascii="Arial" w:hAnsi="Arial" w:cs="Arial"/>
                <w:szCs w:val="24"/>
              </w:rPr>
            </w:pPr>
            <w:r w:rsidRPr="007B3B90">
              <w:rPr>
                <w:rFonts w:ascii="Arial" w:hAnsi="Arial" w:cs="Arial"/>
                <w:szCs w:val="24"/>
              </w:rPr>
              <w:t>All patients with an infrarenal abdominal aortic aneurysm in</w:t>
            </w:r>
            <w:r w:rsidR="0012595F" w:rsidRPr="007B3B90">
              <w:rPr>
                <w:rFonts w:ascii="Arial" w:hAnsi="Arial" w:cs="Arial"/>
                <w:szCs w:val="24"/>
              </w:rPr>
              <w:t xml:space="preserve"> at least</w:t>
            </w:r>
            <w:r w:rsidRPr="007B3B90">
              <w:rPr>
                <w:rFonts w:ascii="Arial" w:hAnsi="Arial" w:cs="Arial"/>
                <w:szCs w:val="24"/>
              </w:rPr>
              <w:t xml:space="preserve"> five sites will be assessed for inclusion into the study. This is expected to be over </w:t>
            </w:r>
            <w:r w:rsidR="007B48D6" w:rsidRPr="007B3B90">
              <w:rPr>
                <w:rFonts w:ascii="Arial" w:hAnsi="Arial" w:cs="Arial"/>
                <w:szCs w:val="24"/>
              </w:rPr>
              <w:t>2</w:t>
            </w:r>
            <w:r w:rsidRPr="007B3B90">
              <w:rPr>
                <w:rFonts w:ascii="Arial" w:hAnsi="Arial" w:cs="Arial"/>
                <w:szCs w:val="24"/>
              </w:rPr>
              <w:t xml:space="preserve">00 patients in five high-volume sites. From these patients we will be able to </w:t>
            </w:r>
            <w:r w:rsidR="00442D0D" w:rsidRPr="007B3B90">
              <w:rPr>
                <w:rFonts w:ascii="Arial" w:hAnsi="Arial" w:cs="Arial"/>
                <w:szCs w:val="24"/>
              </w:rPr>
              <w:t>enrol</w:t>
            </w:r>
            <w:r w:rsidRPr="007B3B90">
              <w:rPr>
                <w:rFonts w:ascii="Arial" w:hAnsi="Arial" w:cs="Arial"/>
                <w:szCs w:val="24"/>
              </w:rPr>
              <w:t xml:space="preserve"> suitable patients for the STAR pathway. We expect approximately 100 patients to be enrolled from the five cent</w:t>
            </w:r>
            <w:r w:rsidR="00442D0D" w:rsidRPr="007B3B90">
              <w:rPr>
                <w:rFonts w:ascii="Arial" w:hAnsi="Arial" w:cs="Arial"/>
                <w:szCs w:val="24"/>
              </w:rPr>
              <w:t>r</w:t>
            </w:r>
            <w:r w:rsidRPr="007B3B90">
              <w:rPr>
                <w:rFonts w:ascii="Arial" w:hAnsi="Arial" w:cs="Arial"/>
                <w:szCs w:val="24"/>
              </w:rPr>
              <w:t>es.</w:t>
            </w:r>
          </w:p>
          <w:p w14:paraId="73A94C65" w14:textId="3302807B" w:rsidR="00663512" w:rsidRPr="007B3B90" w:rsidRDefault="00663512" w:rsidP="00376E48">
            <w:pPr>
              <w:spacing w:before="60" w:after="60"/>
              <w:ind w:left="550" w:right="1735"/>
              <w:jc w:val="both"/>
              <w:rPr>
                <w:rFonts w:cs="Arial"/>
                <w:color w:val="000000"/>
                <w:sz w:val="23"/>
              </w:rPr>
            </w:pPr>
          </w:p>
        </w:tc>
      </w:tr>
      <w:tr w:rsidR="00663512" w:rsidRPr="007B3B90" w14:paraId="0EDB6EA2" w14:textId="77777777" w:rsidTr="00AB0314">
        <w:tc>
          <w:tcPr>
            <w:tcW w:w="2779" w:type="dxa"/>
          </w:tcPr>
          <w:p w14:paraId="233140DE" w14:textId="77777777" w:rsidR="00663512" w:rsidRPr="007B3B90" w:rsidRDefault="00663512" w:rsidP="0009679E">
            <w:pPr>
              <w:tabs>
                <w:tab w:val="left" w:pos="720"/>
              </w:tabs>
              <w:spacing w:before="60" w:after="60"/>
              <w:jc w:val="right"/>
              <w:rPr>
                <w:b/>
                <w:color w:val="000000"/>
                <w:sz w:val="23"/>
              </w:rPr>
            </w:pPr>
            <w:r w:rsidRPr="007B3B90">
              <w:rPr>
                <w:b/>
                <w:color w:val="000000"/>
                <w:sz w:val="23"/>
              </w:rPr>
              <w:t>ELIGIBILITY</w:t>
            </w:r>
          </w:p>
        </w:tc>
        <w:tc>
          <w:tcPr>
            <w:tcW w:w="8028" w:type="dxa"/>
          </w:tcPr>
          <w:p w14:paraId="3C684A86" w14:textId="497F3AF4" w:rsidR="00943D5B" w:rsidRPr="007B3B90" w:rsidRDefault="00943D5B" w:rsidP="00943D5B">
            <w:pPr>
              <w:pStyle w:val="Indent2"/>
              <w:spacing w:after="0"/>
              <w:ind w:left="567" w:right="1883"/>
              <w:jc w:val="both"/>
              <w:rPr>
                <w:rFonts w:cs="Arial"/>
                <w:color w:val="000000" w:themeColor="text1"/>
                <w:sz w:val="24"/>
                <w:szCs w:val="24"/>
                <w:lang w:val="en-GB"/>
              </w:rPr>
            </w:pPr>
            <w:r w:rsidRPr="007B3B90">
              <w:rPr>
                <w:rFonts w:cs="Arial"/>
                <w:color w:val="000000" w:themeColor="text1"/>
                <w:sz w:val="24"/>
                <w:szCs w:val="24"/>
                <w:lang w:val="en-GB"/>
              </w:rPr>
              <w:t xml:space="preserve">Patients with an infrarenal AAA </w:t>
            </w:r>
            <w:r w:rsidR="0039581A">
              <w:rPr>
                <w:rFonts w:cs="Arial"/>
                <w:color w:val="000000" w:themeColor="text1"/>
                <w:sz w:val="24"/>
                <w:szCs w:val="24"/>
                <w:lang w:val="en-GB"/>
              </w:rPr>
              <w:t xml:space="preserve">and iliac artery aneurysm </w:t>
            </w:r>
            <w:r w:rsidRPr="007B3B90">
              <w:rPr>
                <w:rFonts w:cs="Arial"/>
                <w:color w:val="000000" w:themeColor="text1"/>
                <w:sz w:val="24"/>
                <w:szCs w:val="24"/>
                <w:lang w:val="en-GB"/>
              </w:rPr>
              <w:t>are eligible for screening for participation in the study. Patients who meet all the Inclusion Criteria and none of the Exclusion Criteria will be eligible and offered AAA repair using the STAR pathway. Those who accept admission to this pathway will be enrolled.</w:t>
            </w:r>
          </w:p>
          <w:p w14:paraId="33924E87" w14:textId="2ECE538E" w:rsidR="00663512" w:rsidRPr="007B3B90" w:rsidRDefault="00663512" w:rsidP="00B6108A">
            <w:pPr>
              <w:spacing w:before="60" w:after="60"/>
              <w:jc w:val="both"/>
              <w:rPr>
                <w:color w:val="FF0000"/>
              </w:rPr>
            </w:pPr>
          </w:p>
        </w:tc>
      </w:tr>
      <w:tr w:rsidR="005A73EF" w:rsidRPr="007B3B90" w14:paraId="61248C27" w14:textId="77777777" w:rsidTr="00AB0314">
        <w:tc>
          <w:tcPr>
            <w:tcW w:w="2779" w:type="dxa"/>
          </w:tcPr>
          <w:p w14:paraId="132FEB4F" w14:textId="77777777" w:rsidR="005A73EF" w:rsidRPr="007B3B90" w:rsidRDefault="005A73EF" w:rsidP="0009679E">
            <w:pPr>
              <w:tabs>
                <w:tab w:val="left" w:pos="720"/>
              </w:tabs>
              <w:spacing w:before="60" w:after="60"/>
              <w:jc w:val="right"/>
              <w:rPr>
                <w:b/>
                <w:color w:val="000000"/>
                <w:sz w:val="23"/>
              </w:rPr>
            </w:pPr>
            <w:r w:rsidRPr="007B3B90">
              <w:rPr>
                <w:b/>
                <w:caps/>
                <w:color w:val="000000"/>
                <w:sz w:val="23"/>
              </w:rPr>
              <w:t>duration</w:t>
            </w:r>
          </w:p>
        </w:tc>
        <w:tc>
          <w:tcPr>
            <w:tcW w:w="8028" w:type="dxa"/>
          </w:tcPr>
          <w:p w14:paraId="306300DB" w14:textId="115D92EC" w:rsidR="005A73EF" w:rsidRPr="007B3B90" w:rsidRDefault="005A73EF" w:rsidP="00695741">
            <w:pPr>
              <w:pStyle w:val="Helvetica"/>
              <w:spacing w:before="60" w:after="60"/>
              <w:ind w:left="552" w:right="1728"/>
              <w:rPr>
                <w:rFonts w:ascii="Arial" w:hAnsi="Arial" w:cs="Arial"/>
                <w:szCs w:val="24"/>
              </w:rPr>
            </w:pPr>
            <w:r w:rsidRPr="007B3B90">
              <w:rPr>
                <w:rFonts w:ascii="Arial" w:hAnsi="Arial" w:cs="Arial"/>
                <w:szCs w:val="24"/>
              </w:rPr>
              <w:t>12-month enrolment</w:t>
            </w:r>
            <w:r w:rsidRPr="007B3B90">
              <w:rPr>
                <w:rStyle w:val="StyleRed"/>
                <w:rFonts w:ascii="Arial" w:hAnsi="Arial" w:cs="Arial"/>
                <w:iCs/>
                <w:color w:val="000000" w:themeColor="text1"/>
                <w:szCs w:val="24"/>
              </w:rPr>
              <w:t xml:space="preserve"> </w:t>
            </w:r>
            <w:r w:rsidR="0012595F" w:rsidRPr="007B3B90">
              <w:rPr>
                <w:rStyle w:val="StyleRed"/>
                <w:rFonts w:ascii="Arial" w:hAnsi="Arial" w:cs="Arial"/>
                <w:iCs/>
                <w:color w:val="000000" w:themeColor="text1"/>
                <w:szCs w:val="24"/>
              </w:rPr>
              <w:t xml:space="preserve">and active follow up for </w:t>
            </w:r>
            <w:r w:rsidR="00676748" w:rsidRPr="007B3B90">
              <w:rPr>
                <w:rStyle w:val="StyleRed"/>
                <w:rFonts w:ascii="Arial" w:hAnsi="Arial" w:cs="Arial"/>
                <w:iCs/>
                <w:color w:val="000000" w:themeColor="text1"/>
                <w:szCs w:val="24"/>
              </w:rPr>
              <w:t xml:space="preserve">a </w:t>
            </w:r>
            <w:r w:rsidR="00406537" w:rsidRPr="007B3B90">
              <w:rPr>
                <w:rStyle w:val="StyleRed"/>
                <w:rFonts w:ascii="Arial" w:hAnsi="Arial" w:cs="Arial"/>
                <w:iCs/>
                <w:color w:val="000000" w:themeColor="text1"/>
                <w:szCs w:val="24"/>
              </w:rPr>
              <w:t xml:space="preserve">minimum of 6-months </w:t>
            </w:r>
            <w:r w:rsidR="0043458B" w:rsidRPr="007B3B90">
              <w:rPr>
                <w:rStyle w:val="StyleRed"/>
                <w:rFonts w:ascii="Arial" w:hAnsi="Arial" w:cs="Arial"/>
                <w:iCs/>
                <w:color w:val="000000" w:themeColor="text1"/>
                <w:szCs w:val="24"/>
              </w:rPr>
              <w:t xml:space="preserve">(with permission to collect routine clinical data for a period of </w:t>
            </w:r>
            <w:r w:rsidR="00C77EBA">
              <w:rPr>
                <w:rStyle w:val="StyleRed"/>
                <w:rFonts w:ascii="Arial" w:hAnsi="Arial" w:cs="Arial"/>
                <w:iCs/>
                <w:color w:val="000000" w:themeColor="text1"/>
                <w:szCs w:val="24"/>
              </w:rPr>
              <w:t>15</w:t>
            </w:r>
            <w:r w:rsidR="0043458B" w:rsidRPr="007B3B90">
              <w:rPr>
                <w:rStyle w:val="StyleRed"/>
                <w:rFonts w:ascii="Arial" w:hAnsi="Arial" w:cs="Arial"/>
                <w:iCs/>
                <w:color w:val="000000" w:themeColor="text1"/>
                <w:szCs w:val="24"/>
              </w:rPr>
              <w:t xml:space="preserve"> months from consent). </w:t>
            </w:r>
          </w:p>
        </w:tc>
      </w:tr>
    </w:tbl>
    <w:p w14:paraId="0EE06438" w14:textId="77777777" w:rsidR="002A2EC1" w:rsidRPr="007B3B90" w:rsidRDefault="002A2EC1" w:rsidP="002A2EC1">
      <w:pPr>
        <w:rPr>
          <w:b/>
          <w:caps/>
          <w:sz w:val="23"/>
          <w:szCs w:val="23"/>
        </w:rPr>
      </w:pPr>
      <w:bookmarkStart w:id="0" w:name="_Toc33089428"/>
      <w:bookmarkStart w:id="1" w:name="_Toc33098103"/>
    </w:p>
    <w:p w14:paraId="098C8E95" w14:textId="77777777" w:rsidR="002A2EC1" w:rsidRPr="007B3B90" w:rsidRDefault="002A2EC1">
      <w:pPr>
        <w:rPr>
          <w:b/>
          <w:caps/>
          <w:sz w:val="23"/>
          <w:szCs w:val="23"/>
        </w:rPr>
      </w:pPr>
      <w:r w:rsidRPr="007B3B90">
        <w:rPr>
          <w:b/>
          <w:caps/>
          <w:sz w:val="23"/>
          <w:szCs w:val="23"/>
        </w:rPr>
        <w:br w:type="page"/>
      </w:r>
    </w:p>
    <w:p w14:paraId="306AE421" w14:textId="5AC44F55" w:rsidR="00663512" w:rsidRPr="007B3B90" w:rsidRDefault="00663512" w:rsidP="002A2EC1">
      <w:pPr>
        <w:pStyle w:val="Heading1"/>
        <w:rPr>
          <w:sz w:val="23"/>
          <w:szCs w:val="23"/>
        </w:rPr>
      </w:pPr>
      <w:r w:rsidRPr="007B3B90">
        <w:lastRenderedPageBreak/>
        <w:t>INTRODUCTION</w:t>
      </w:r>
      <w:bookmarkEnd w:id="0"/>
      <w:bookmarkEnd w:id="1"/>
      <w:r w:rsidRPr="007B3B90">
        <w:t xml:space="preserve"> </w:t>
      </w:r>
    </w:p>
    <w:p w14:paraId="0FBE85FB" w14:textId="77777777" w:rsidR="00663512" w:rsidRPr="007B3B90" w:rsidRDefault="00663512" w:rsidP="00663512"/>
    <w:p w14:paraId="1B26A64F" w14:textId="77777777" w:rsidR="00663512" w:rsidRPr="007B3B90" w:rsidRDefault="00663512" w:rsidP="00880434">
      <w:pPr>
        <w:pStyle w:val="QAHeading2"/>
        <w:numPr>
          <w:ilvl w:val="1"/>
          <w:numId w:val="2"/>
        </w:numPr>
      </w:pPr>
      <w:bookmarkStart w:id="2" w:name="_Toc33089429"/>
      <w:bookmarkStart w:id="3" w:name="_Toc33098104"/>
      <w:r w:rsidRPr="007B3B90">
        <w:t>BACKGROUND</w:t>
      </w:r>
      <w:bookmarkEnd w:id="2"/>
      <w:bookmarkEnd w:id="3"/>
    </w:p>
    <w:p w14:paraId="4BA7E4C9" w14:textId="4A523068" w:rsidR="00663512" w:rsidRPr="007B3B90" w:rsidRDefault="00663512" w:rsidP="00663512"/>
    <w:p w14:paraId="0455D3B2" w14:textId="27D3365D" w:rsidR="006C319C" w:rsidRPr="007B3B90" w:rsidRDefault="006C319C" w:rsidP="00100304">
      <w:pPr>
        <w:pStyle w:val="Indent2"/>
        <w:spacing w:after="0"/>
        <w:ind w:left="0"/>
        <w:jc w:val="both"/>
        <w:rPr>
          <w:rFonts w:cs="Arial"/>
          <w:color w:val="000000" w:themeColor="text1"/>
          <w:sz w:val="24"/>
          <w:szCs w:val="24"/>
          <w:lang w:val="en-GB"/>
        </w:rPr>
      </w:pPr>
      <w:r w:rsidRPr="007B3B90">
        <w:rPr>
          <w:rFonts w:cs="Arial"/>
          <w:color w:val="000000" w:themeColor="text1"/>
          <w:sz w:val="24"/>
          <w:szCs w:val="24"/>
          <w:lang w:val="en-GB"/>
        </w:rPr>
        <w:t>Abdominal Aortic Aneurysms (AAAs) are common and present a significant risk of rupture and mortality when greater th</w:t>
      </w:r>
      <w:r w:rsidR="000C26B5" w:rsidRPr="007B3B90">
        <w:rPr>
          <w:rFonts w:cs="Arial"/>
          <w:color w:val="000000" w:themeColor="text1"/>
          <w:sz w:val="24"/>
          <w:szCs w:val="24"/>
          <w:lang w:val="en-GB"/>
        </w:rPr>
        <w:t>an</w:t>
      </w:r>
      <w:r w:rsidRPr="007B3B90">
        <w:rPr>
          <w:rFonts w:cs="Arial"/>
          <w:color w:val="000000" w:themeColor="text1"/>
          <w:sz w:val="24"/>
          <w:szCs w:val="24"/>
          <w:lang w:val="en-GB"/>
        </w:rPr>
        <w:t xml:space="preserve"> 5</w:t>
      </w:r>
      <w:r w:rsidR="00736E05">
        <w:rPr>
          <w:rFonts w:cs="Arial"/>
          <w:color w:val="000000" w:themeColor="text1"/>
          <w:sz w:val="24"/>
          <w:szCs w:val="24"/>
          <w:lang w:val="en-GB"/>
        </w:rPr>
        <w:t>5 m</w:t>
      </w:r>
      <w:r w:rsidRPr="007B3B90">
        <w:rPr>
          <w:rFonts w:cs="Arial"/>
          <w:color w:val="000000" w:themeColor="text1"/>
          <w:sz w:val="24"/>
          <w:szCs w:val="24"/>
          <w:lang w:val="en-GB"/>
        </w:rPr>
        <w:t>m in size. For those patients where the risk of rupture outweighs the operative risks, repair is offered. At present, most patients in the UK are offered a minimally invasive endovascular approach.</w:t>
      </w:r>
    </w:p>
    <w:p w14:paraId="790DCFA1" w14:textId="644FBB5F" w:rsidR="006C319C" w:rsidRPr="007B3B90" w:rsidRDefault="006C319C" w:rsidP="00100304">
      <w:pPr>
        <w:pStyle w:val="Indent2"/>
        <w:spacing w:after="0"/>
        <w:ind w:left="0"/>
        <w:jc w:val="both"/>
        <w:rPr>
          <w:rFonts w:cs="Arial"/>
          <w:color w:val="000000" w:themeColor="text1"/>
          <w:sz w:val="24"/>
          <w:szCs w:val="24"/>
          <w:lang w:val="en-GB"/>
        </w:rPr>
      </w:pPr>
    </w:p>
    <w:p w14:paraId="2BBA7153" w14:textId="77777777" w:rsidR="006C319C" w:rsidRPr="007B3B90" w:rsidRDefault="006C319C" w:rsidP="004E5F39">
      <w:pPr>
        <w:snapToGrid w:val="0"/>
        <w:ind w:right="-142"/>
        <w:jc w:val="both"/>
        <w:rPr>
          <w:rFonts w:cs="Arial"/>
        </w:rPr>
      </w:pPr>
      <w:r w:rsidRPr="007B3B90">
        <w:rPr>
          <w:rFonts w:cs="Arial"/>
          <w:color w:val="000000" w:themeColor="text1"/>
        </w:rPr>
        <w:t xml:space="preserve">EVAR is now established as a safe and acceptable alternative to open repair in suitable </w:t>
      </w:r>
      <w:r w:rsidRPr="007B3B90">
        <w:rPr>
          <w:rFonts w:cs="Arial"/>
        </w:rPr>
        <w:t xml:space="preserve">patients. In 2004 the EVAR-1 trial demonstrated a significant reduction in 30-day mortality from 4.6 to 1.6% and in-hospital mortality from 6.0 to 1.6% in patients receiving EVAR [1]. Since then, mortality and complication rates have fallen further. Recent reports from the National Vascular Registry (NVR) document 0.7% mortality and a 5.1% morbidity for the 2870 endovascular repairs across the UK in 2017 [2]. </w:t>
      </w:r>
    </w:p>
    <w:p w14:paraId="2A9A4A68" w14:textId="77777777" w:rsidR="006C319C" w:rsidRPr="007B3B90" w:rsidRDefault="006C319C" w:rsidP="00100304">
      <w:pPr>
        <w:snapToGrid w:val="0"/>
        <w:ind w:left="567"/>
        <w:jc w:val="both"/>
        <w:rPr>
          <w:rFonts w:cs="Arial"/>
        </w:rPr>
      </w:pPr>
    </w:p>
    <w:p w14:paraId="7C2535AB" w14:textId="79A5D7BE" w:rsidR="006C319C" w:rsidRPr="007B3B90" w:rsidRDefault="006C319C" w:rsidP="00B93F8F">
      <w:pPr>
        <w:snapToGrid w:val="0"/>
        <w:ind w:right="-142"/>
        <w:jc w:val="both"/>
        <w:rPr>
          <w:rFonts w:cs="Arial"/>
        </w:rPr>
      </w:pPr>
      <w:r w:rsidRPr="007B3B90">
        <w:rPr>
          <w:rFonts w:cs="Arial"/>
        </w:rPr>
        <w:t>However, the estimated cost of the procedure is £12,000 [3], which is not cost-effective when compared to open repair – the cost of endografts and the increased burden of follow-up means that costs are greater overall [1, 3, 4]. The draft guidelines for aneurysm repair from the National Institute for Health and Care Excellence (NICE) published in 2018</w:t>
      </w:r>
      <w:r w:rsidR="00100304" w:rsidRPr="007B3B90">
        <w:rPr>
          <w:rFonts w:cs="Arial"/>
        </w:rPr>
        <w:t xml:space="preserve"> </w:t>
      </w:r>
      <w:r w:rsidRPr="007B3B90">
        <w:rPr>
          <w:rFonts w:cs="Arial"/>
        </w:rPr>
        <w:t>(</w:t>
      </w:r>
      <w:hyperlink r:id="rId12" w:history="1">
        <w:r w:rsidRPr="007B3B90">
          <w:rPr>
            <w:rStyle w:val="Hyperlink"/>
            <w:rFonts w:cs="Arial"/>
          </w:rPr>
          <w:t>https://www.nice.org.uk/guidance/indevelopment/gid-cgwave0769/consultation/html-content</w:t>
        </w:r>
      </w:hyperlink>
      <w:r w:rsidRPr="007B3B90">
        <w:rPr>
          <w:rFonts w:cs="Arial"/>
          <w:sz w:val="28"/>
          <w:szCs w:val="28"/>
        </w:rPr>
        <w:t xml:space="preserve">) </w:t>
      </w:r>
      <w:r w:rsidRPr="007B3B90">
        <w:rPr>
          <w:rFonts w:cs="Arial"/>
        </w:rPr>
        <w:t xml:space="preserve">included a detailed cost analysis based on trial data which concluded EVAR is not cost effective, recommending EVAR is not used in fit or unfit, non-ruptured aneurysm patients.  After unprecedented stakeholder opinion and intervention from NICE, changing the guideline committees final recommendations, the guidelines were finally published </w:t>
      </w:r>
      <w:r w:rsidRPr="007B3B90">
        <w:rPr>
          <w:rFonts w:cs="Arial"/>
          <w:sz w:val="28"/>
          <w:szCs w:val="28"/>
        </w:rPr>
        <w:t>(</w:t>
      </w:r>
      <w:hyperlink r:id="rId13" w:history="1">
        <w:r w:rsidRPr="007B3B90">
          <w:rPr>
            <w:rStyle w:val="Hyperlink"/>
            <w:rFonts w:cs="Arial"/>
          </w:rPr>
          <w:t>https://www.nice.org.uk/news/article/nice-publishes-its-guideline-on-the-diagnosis-and-management-of-abdominal-aortic-aneurysms</w:t>
        </w:r>
      </w:hyperlink>
      <w:r w:rsidRPr="007B3B90">
        <w:rPr>
          <w:rFonts w:cs="Arial"/>
        </w:rPr>
        <w:t xml:space="preserve">). The guidelines state that “where open surgical repair can’t be carried out – for example because of medical or </w:t>
      </w:r>
      <w:r w:rsidR="007B48D6" w:rsidRPr="007B3B90">
        <w:rPr>
          <w:rFonts w:cs="Arial"/>
        </w:rPr>
        <w:t>anaesthetic</w:t>
      </w:r>
      <w:r w:rsidRPr="007B3B90">
        <w:rPr>
          <w:rFonts w:cs="Arial"/>
        </w:rPr>
        <w:t xml:space="preserve"> risks – EVAR can be considered”. However, cost-effectiveness is clearly an important issue that will be ever more important in years to come, given increasing healthcare costs and studies to attempt to find cost effective improvements are needed.</w:t>
      </w:r>
    </w:p>
    <w:p w14:paraId="3A88E2AC" w14:textId="77777777" w:rsidR="006C319C" w:rsidRPr="007B3B90" w:rsidRDefault="006C319C" w:rsidP="00B93F8F">
      <w:pPr>
        <w:snapToGrid w:val="0"/>
        <w:ind w:left="567"/>
        <w:jc w:val="both"/>
        <w:rPr>
          <w:rFonts w:cs="Arial"/>
        </w:rPr>
      </w:pPr>
    </w:p>
    <w:p w14:paraId="306CBC93" w14:textId="77777777" w:rsidR="006C319C" w:rsidRPr="007B3B90" w:rsidRDefault="006C319C" w:rsidP="00B93F8F">
      <w:pPr>
        <w:snapToGrid w:val="0"/>
        <w:jc w:val="both"/>
        <w:rPr>
          <w:rFonts w:cs="Arial"/>
        </w:rPr>
      </w:pPr>
      <w:r w:rsidRPr="007B3B90">
        <w:rPr>
          <w:rFonts w:cs="Arial"/>
        </w:rPr>
        <w:t xml:space="preserve">In addition, waiting times are increasing - the NVR report 2017 stated “The median delay at the majority of vascular units tended to fall within the range of 60 to 90 days. Nonetheless, the upper limit of the interquartile ranges shows that, at 16% of the vascular units (12 of 75), 25% of patients operated on in 2017 waited more than 140 days.” For aneurysm repair patients were cancelled, for a variety of reasons, but lack of facilities and hospital beds were among the prime reasons for cancellation. </w:t>
      </w:r>
    </w:p>
    <w:p w14:paraId="568B0FF1" w14:textId="77777777" w:rsidR="006C319C" w:rsidRPr="007B3B90" w:rsidRDefault="006C319C" w:rsidP="00B93F8F">
      <w:pPr>
        <w:snapToGrid w:val="0"/>
        <w:ind w:left="567"/>
        <w:jc w:val="both"/>
        <w:rPr>
          <w:rFonts w:cs="Arial"/>
        </w:rPr>
      </w:pPr>
    </w:p>
    <w:p w14:paraId="2FEF87C3" w14:textId="77777777" w:rsidR="006C319C" w:rsidRPr="007B3B90" w:rsidRDefault="006C319C" w:rsidP="00B93F8F">
      <w:pPr>
        <w:snapToGrid w:val="0"/>
        <w:jc w:val="both"/>
        <w:rPr>
          <w:rFonts w:cs="Arial"/>
        </w:rPr>
      </w:pPr>
      <w:r w:rsidRPr="007B3B90">
        <w:rPr>
          <w:rFonts w:cs="Arial"/>
        </w:rPr>
        <w:t>The average hospital stay for elective EVAR is 2 days (Interquartile range 1-4 days) [3]. There is a need for a more efficient care pathway. There is a focus on shorter stays and readmissions in the “Getting It Right First Time” (GIRFT) agenda, which is a Nationwide report of vascular surgery performance. The variation in practice is clearly demonstrated in this work. Research into the potential of shorter stay pathways is very much needed, to include patient acceptability.</w:t>
      </w:r>
    </w:p>
    <w:p w14:paraId="61D42232" w14:textId="77777777" w:rsidR="006C319C" w:rsidRPr="007B3B90" w:rsidRDefault="006C319C" w:rsidP="00B93F8F">
      <w:pPr>
        <w:pStyle w:val="Indent2"/>
        <w:spacing w:after="0"/>
        <w:ind w:left="0"/>
        <w:jc w:val="both"/>
        <w:rPr>
          <w:rFonts w:cs="Arial"/>
          <w:sz w:val="24"/>
          <w:szCs w:val="24"/>
          <w:lang w:val="en-GB"/>
        </w:rPr>
      </w:pPr>
    </w:p>
    <w:p w14:paraId="4F9E0B78" w14:textId="5F513A23" w:rsidR="006C319C" w:rsidRPr="007B3B90" w:rsidRDefault="006C319C" w:rsidP="00B93F8F">
      <w:pPr>
        <w:tabs>
          <w:tab w:val="left" w:pos="9639"/>
          <w:tab w:val="left" w:pos="9781"/>
          <w:tab w:val="left" w:pos="10065"/>
        </w:tabs>
        <w:snapToGrid w:val="0"/>
        <w:jc w:val="both"/>
        <w:rPr>
          <w:rFonts w:cs="Arial"/>
        </w:rPr>
      </w:pPr>
      <w:r w:rsidRPr="007B3B90">
        <w:rPr>
          <w:rFonts w:cs="Arial"/>
        </w:rPr>
        <w:t>Short Stay Aneurysm Repair (STAR) is certainly achievable. The results of papers on this subject have recently been synthesized in a systematic review. [5] The patients involved are selected according to fitness, social and anatomical criteria. There is wide variation in reported rates of short stay EVAR compared to the overall volume of patients from 23-79% of the cohort. There is also significant variation in terms of the success in discharging patients after a short stay (from 70-96%).</w:t>
      </w:r>
    </w:p>
    <w:p w14:paraId="4EAADF03" w14:textId="77777777" w:rsidR="001F4480" w:rsidRPr="007B3B90" w:rsidRDefault="001F4480" w:rsidP="00100304">
      <w:pPr>
        <w:pStyle w:val="Indent2"/>
        <w:spacing w:after="0"/>
        <w:ind w:left="0"/>
        <w:jc w:val="both"/>
        <w:rPr>
          <w:rFonts w:cs="Arial"/>
          <w:sz w:val="24"/>
          <w:szCs w:val="24"/>
          <w:lang w:val="en-GB"/>
        </w:rPr>
      </w:pPr>
    </w:p>
    <w:p w14:paraId="046457E0" w14:textId="054E84EB" w:rsidR="006C319C" w:rsidRPr="007B3B90" w:rsidRDefault="006C319C" w:rsidP="00100304">
      <w:pPr>
        <w:pStyle w:val="Indent2"/>
        <w:spacing w:after="0"/>
        <w:ind w:left="0"/>
        <w:jc w:val="both"/>
        <w:rPr>
          <w:rFonts w:cs="Arial"/>
          <w:sz w:val="24"/>
          <w:szCs w:val="24"/>
          <w:lang w:val="en-GB"/>
        </w:rPr>
      </w:pPr>
      <w:r w:rsidRPr="007B3B90">
        <w:rPr>
          <w:rFonts w:cs="Arial"/>
          <w:sz w:val="24"/>
          <w:szCs w:val="24"/>
          <w:lang w:val="en-GB"/>
        </w:rPr>
        <w:t xml:space="preserve">One report describes a select group of 27 patients in Cambridge who received EVAR, discharged the day after surgery [6]. There were no safety issues detected and the perceived costs of a short stay EVAR were less in a rudimentary cost analysis. The highly specialized vascular </w:t>
      </w:r>
      <w:r w:rsidR="00314C26" w:rsidRPr="007B3B90">
        <w:rPr>
          <w:rFonts w:cs="Arial"/>
          <w:sz w:val="24"/>
          <w:szCs w:val="24"/>
          <w:lang w:val="en-GB"/>
        </w:rPr>
        <w:t xml:space="preserve">centre </w:t>
      </w:r>
      <w:r w:rsidRPr="007B3B90">
        <w:rPr>
          <w:rFonts w:cs="Arial"/>
          <w:sz w:val="24"/>
          <w:szCs w:val="24"/>
          <w:lang w:val="en-GB"/>
        </w:rPr>
        <w:t xml:space="preserve">in Zurich, Switzerland has published results for day case EVAR, to demonstrate feasibility [7]. A protocol involving many elements of a fast-track programme and low-profile devices in the USA has shown that in selected patients, it is possible to perform next day discharge, with a low complication rate, mortality and readmission rate of 1.6% [8]. Despite these reports, which are now more than five years old, the concept of short stay aneurysm repair has not been adopted into practice. Some of the reasons for this are highlighted in the papers. </w:t>
      </w:r>
    </w:p>
    <w:p w14:paraId="188BE240" w14:textId="77777777" w:rsidR="006C319C" w:rsidRPr="007B3B90" w:rsidRDefault="006C319C" w:rsidP="00100304">
      <w:pPr>
        <w:pStyle w:val="Indent2"/>
        <w:spacing w:after="0"/>
        <w:ind w:left="0"/>
        <w:jc w:val="both"/>
        <w:rPr>
          <w:rFonts w:cs="Arial"/>
          <w:sz w:val="24"/>
          <w:szCs w:val="24"/>
          <w:lang w:val="en-GB"/>
        </w:rPr>
      </w:pPr>
    </w:p>
    <w:p w14:paraId="1E37097B" w14:textId="31058ADE" w:rsidR="006C319C" w:rsidRDefault="006C319C" w:rsidP="002A2EC1">
      <w:pPr>
        <w:pStyle w:val="Indent2"/>
        <w:spacing w:after="0"/>
        <w:ind w:left="0"/>
        <w:jc w:val="both"/>
        <w:rPr>
          <w:rFonts w:cs="Arial"/>
          <w:sz w:val="24"/>
          <w:szCs w:val="24"/>
          <w:lang w:val="en-GB"/>
        </w:rPr>
      </w:pPr>
      <w:r w:rsidRPr="007B3B90">
        <w:rPr>
          <w:rFonts w:cs="Arial"/>
          <w:sz w:val="24"/>
          <w:szCs w:val="24"/>
          <w:lang w:val="en-GB"/>
        </w:rPr>
        <w:t>The Cambridge study suggested only 33% of patients are suitable for discharge the day after surgery, achieved in 81% of cases and even for these patients concluded that “an established pathway is required in order for [the potential benefits of next day discharge after EVAR] to be realized” as patents were not adequately prepared. Since this paper examined the utility of next day discharge (two bed day occupancy rather than less than 24 hours), this would seem to be vital before widespread adoption. The Swiss paper, and the more recent US study describe good outcomes for short stay EVAR but have not considered the costs and outcomes relevant to the National Health Service (NHS) and the selection and follow-up of these patients is not documented.</w:t>
      </w:r>
    </w:p>
    <w:p w14:paraId="3CAD3387" w14:textId="5B9E8374" w:rsidR="0039581A" w:rsidRDefault="0039581A" w:rsidP="002A2EC1">
      <w:pPr>
        <w:pStyle w:val="Indent2"/>
        <w:spacing w:after="0"/>
        <w:ind w:left="0"/>
        <w:jc w:val="both"/>
        <w:rPr>
          <w:rFonts w:cs="Arial"/>
          <w:sz w:val="24"/>
          <w:szCs w:val="24"/>
          <w:lang w:val="en-GB"/>
        </w:rPr>
      </w:pPr>
    </w:p>
    <w:p w14:paraId="6B25E8EE" w14:textId="2865F2F7" w:rsidR="0039581A" w:rsidRDefault="0039581A" w:rsidP="002A2EC1">
      <w:pPr>
        <w:pStyle w:val="Indent2"/>
        <w:spacing w:after="0"/>
        <w:ind w:left="0"/>
        <w:jc w:val="both"/>
        <w:rPr>
          <w:rFonts w:cs="Arial"/>
          <w:sz w:val="24"/>
          <w:szCs w:val="24"/>
          <w:lang w:val="en-GB"/>
        </w:rPr>
      </w:pPr>
    </w:p>
    <w:p w14:paraId="6A26B4FC" w14:textId="69FA1DC8" w:rsidR="0039581A" w:rsidRDefault="0039581A" w:rsidP="002A2EC1">
      <w:pPr>
        <w:pStyle w:val="Indent2"/>
        <w:spacing w:after="0"/>
        <w:ind w:left="0"/>
        <w:jc w:val="both"/>
        <w:rPr>
          <w:rFonts w:cs="Arial"/>
          <w:sz w:val="24"/>
          <w:szCs w:val="24"/>
          <w:lang w:val="en-GB"/>
        </w:rPr>
      </w:pPr>
    </w:p>
    <w:p w14:paraId="3B55739F" w14:textId="58417F2A" w:rsidR="0039581A" w:rsidRDefault="0039581A" w:rsidP="002A2EC1">
      <w:pPr>
        <w:pStyle w:val="Indent2"/>
        <w:spacing w:after="0"/>
        <w:ind w:left="0"/>
        <w:jc w:val="both"/>
        <w:rPr>
          <w:rFonts w:cs="Arial"/>
          <w:sz w:val="24"/>
          <w:szCs w:val="24"/>
          <w:lang w:val="en-GB"/>
        </w:rPr>
      </w:pPr>
    </w:p>
    <w:p w14:paraId="63B85761" w14:textId="31FD1E5F" w:rsidR="0039581A" w:rsidRDefault="0039581A" w:rsidP="002A2EC1">
      <w:pPr>
        <w:pStyle w:val="Indent2"/>
        <w:spacing w:after="0"/>
        <w:ind w:left="0"/>
        <w:jc w:val="both"/>
        <w:rPr>
          <w:rFonts w:cs="Arial"/>
          <w:sz w:val="24"/>
          <w:szCs w:val="24"/>
          <w:lang w:val="en-GB"/>
        </w:rPr>
      </w:pPr>
    </w:p>
    <w:p w14:paraId="5682FF32" w14:textId="7A851573" w:rsidR="0039581A" w:rsidRDefault="0039581A" w:rsidP="002A2EC1">
      <w:pPr>
        <w:pStyle w:val="Indent2"/>
        <w:spacing w:after="0"/>
        <w:ind w:left="0"/>
        <w:jc w:val="both"/>
        <w:rPr>
          <w:rFonts w:cs="Arial"/>
          <w:sz w:val="24"/>
          <w:szCs w:val="24"/>
          <w:lang w:val="en-GB"/>
        </w:rPr>
      </w:pPr>
    </w:p>
    <w:p w14:paraId="5E94D962" w14:textId="0F646124" w:rsidR="0039581A" w:rsidRDefault="0039581A" w:rsidP="002A2EC1">
      <w:pPr>
        <w:pStyle w:val="Indent2"/>
        <w:spacing w:after="0"/>
        <w:ind w:left="0"/>
        <w:jc w:val="both"/>
        <w:rPr>
          <w:rFonts w:cs="Arial"/>
          <w:sz w:val="24"/>
          <w:szCs w:val="24"/>
          <w:lang w:val="en-GB"/>
        </w:rPr>
      </w:pPr>
    </w:p>
    <w:p w14:paraId="18EF6212" w14:textId="329204A9" w:rsidR="0039581A" w:rsidRDefault="0039581A" w:rsidP="002A2EC1">
      <w:pPr>
        <w:pStyle w:val="Indent2"/>
        <w:spacing w:after="0"/>
        <w:ind w:left="0"/>
        <w:jc w:val="both"/>
        <w:rPr>
          <w:rFonts w:cs="Arial"/>
          <w:sz w:val="24"/>
          <w:szCs w:val="24"/>
          <w:lang w:val="en-GB"/>
        </w:rPr>
      </w:pPr>
    </w:p>
    <w:p w14:paraId="26C9A31C" w14:textId="2083293D" w:rsidR="0039581A" w:rsidRDefault="0039581A" w:rsidP="002A2EC1">
      <w:pPr>
        <w:pStyle w:val="Indent2"/>
        <w:spacing w:after="0"/>
        <w:ind w:left="0"/>
        <w:jc w:val="both"/>
        <w:rPr>
          <w:rFonts w:cs="Arial"/>
          <w:sz w:val="24"/>
          <w:szCs w:val="24"/>
          <w:lang w:val="en-GB"/>
        </w:rPr>
      </w:pPr>
    </w:p>
    <w:p w14:paraId="62D1C83F" w14:textId="24FC16D8" w:rsidR="0039581A" w:rsidRDefault="0039581A" w:rsidP="002A2EC1">
      <w:pPr>
        <w:pStyle w:val="Indent2"/>
        <w:spacing w:after="0"/>
        <w:ind w:left="0"/>
        <w:jc w:val="both"/>
        <w:rPr>
          <w:rFonts w:cs="Arial"/>
          <w:sz w:val="24"/>
          <w:szCs w:val="24"/>
          <w:lang w:val="en-GB"/>
        </w:rPr>
      </w:pPr>
    </w:p>
    <w:p w14:paraId="76051CE7" w14:textId="3D32D237" w:rsidR="0039581A" w:rsidRDefault="0039581A" w:rsidP="002A2EC1">
      <w:pPr>
        <w:pStyle w:val="Indent2"/>
        <w:spacing w:after="0"/>
        <w:ind w:left="0"/>
        <w:jc w:val="both"/>
        <w:rPr>
          <w:rFonts w:cs="Arial"/>
          <w:sz w:val="24"/>
          <w:szCs w:val="24"/>
          <w:lang w:val="en-GB"/>
        </w:rPr>
      </w:pPr>
    </w:p>
    <w:p w14:paraId="40736DD4" w14:textId="74EBA378" w:rsidR="006C319C" w:rsidRPr="007B3B90" w:rsidRDefault="006C319C" w:rsidP="00100304">
      <w:pPr>
        <w:pStyle w:val="Indent2"/>
        <w:spacing w:after="0"/>
        <w:ind w:left="0"/>
        <w:jc w:val="both"/>
        <w:rPr>
          <w:rFonts w:cs="Arial"/>
          <w:sz w:val="24"/>
          <w:szCs w:val="24"/>
          <w:lang w:val="en-GB"/>
        </w:rPr>
      </w:pPr>
      <w:r w:rsidRPr="007B3B90">
        <w:rPr>
          <w:rFonts w:cs="Arial"/>
          <w:sz w:val="24"/>
          <w:szCs w:val="24"/>
          <w:lang w:val="en-GB"/>
        </w:rPr>
        <w:lastRenderedPageBreak/>
        <w:t xml:space="preserve">The success of short stay or day case surgery programmes has been demonstrated for many conditions such as coronary angiographic procedures and laparoscopic cholecystectomy where there is now evidence that day case procedures are feasible, </w:t>
      </w:r>
      <w:r w:rsidR="007B48D6" w:rsidRPr="007B3B90">
        <w:rPr>
          <w:rFonts w:cs="Arial"/>
          <w:sz w:val="24"/>
          <w:szCs w:val="24"/>
          <w:lang w:val="en-GB"/>
        </w:rPr>
        <w:t>acceptable,</w:t>
      </w:r>
      <w:r w:rsidRPr="007B3B90">
        <w:rPr>
          <w:rFonts w:cs="Arial"/>
          <w:sz w:val="24"/>
          <w:szCs w:val="24"/>
          <w:lang w:val="en-GB"/>
        </w:rPr>
        <w:t xml:space="preserve"> and safe [10, 11]. There have been many successful case histories of reducing length of stay in various specialties, which are vitally important to understanding implementation strategies. From study of these detailed case histories there have been </w:t>
      </w:r>
      <w:r w:rsidR="007B48D6" w:rsidRPr="007B3B90">
        <w:rPr>
          <w:rFonts w:cs="Arial"/>
          <w:sz w:val="24"/>
          <w:szCs w:val="24"/>
          <w:lang w:val="en-GB"/>
        </w:rPr>
        <w:t>several</w:t>
      </w:r>
      <w:r w:rsidRPr="007B3B90">
        <w:rPr>
          <w:rFonts w:cs="Arial"/>
          <w:sz w:val="24"/>
          <w:szCs w:val="24"/>
          <w:lang w:val="en-GB"/>
        </w:rPr>
        <w:t xml:space="preserve"> tools to empower units to introduce short stay pathways and release capacity in the health system. These include diagnosis, process mapping and problem-solving tools as well as strategies for staff involvement and reducing waste. Crucial to the success of these pathways appears to be design with a patient-</w:t>
      </w:r>
      <w:r w:rsidR="00F91C3E" w:rsidRPr="007B3B90">
        <w:rPr>
          <w:rFonts w:cs="Arial"/>
          <w:sz w:val="24"/>
          <w:szCs w:val="24"/>
          <w:lang w:val="en-GB"/>
        </w:rPr>
        <w:t>centred</w:t>
      </w:r>
      <w:r w:rsidRPr="007B3B90">
        <w:rPr>
          <w:rFonts w:cs="Arial"/>
          <w:sz w:val="24"/>
          <w:szCs w:val="24"/>
          <w:lang w:val="en-GB"/>
        </w:rPr>
        <w:t xml:space="preserve"> approach [12]. Evidence synthesis from a publication from the National Institute for Health Research (NIHR) Health Service and Delivery Research programme has highlighted a consistent reduction in the length of stay of 0.5-3.5 days compared with conventional care without increasing post-operative complication rate, readmissions or reducing patient outcomes [13]. Given that a large proportion of patients at present are sent home at 2-4 days using current pathways [2] it would seem reasonable to suggest that a short stay, 23-hour pathway could become the norm for most patients undergoing elective EVAR.</w:t>
      </w:r>
    </w:p>
    <w:p w14:paraId="55C1B9F2" w14:textId="77777777" w:rsidR="001F4480" w:rsidRPr="007B3B90" w:rsidRDefault="001F4480" w:rsidP="00100304"/>
    <w:p w14:paraId="4973C49C" w14:textId="73350FFE" w:rsidR="007B48D6" w:rsidRPr="007B3B90" w:rsidRDefault="006C319C" w:rsidP="00100304">
      <w:pPr>
        <w:pStyle w:val="Indent2"/>
        <w:spacing w:after="0"/>
        <w:ind w:left="0"/>
        <w:jc w:val="both"/>
        <w:rPr>
          <w:rFonts w:cs="Arial"/>
          <w:sz w:val="24"/>
          <w:szCs w:val="24"/>
          <w:lang w:val="en-GB"/>
        </w:rPr>
      </w:pPr>
      <w:r w:rsidRPr="007B3B90">
        <w:rPr>
          <w:rFonts w:cs="Arial"/>
          <w:sz w:val="24"/>
          <w:szCs w:val="24"/>
          <w:lang w:val="en-GB"/>
        </w:rPr>
        <w:t>Investigation has been conducted by the study team specifically to understand how a 23-hour pathway may be best designed to overcome organizational and personal barriers to implementation</w:t>
      </w:r>
      <w:r w:rsidR="007B48D6" w:rsidRPr="007B3B90">
        <w:rPr>
          <w:rFonts w:cs="Arial"/>
          <w:sz w:val="24"/>
          <w:szCs w:val="24"/>
          <w:lang w:val="en-GB"/>
        </w:rPr>
        <w:t>, including detailed discussions with patients and their families,</w:t>
      </w:r>
      <w:r w:rsidR="00844CB7" w:rsidRPr="007B3B90">
        <w:rPr>
          <w:rFonts w:cs="Arial"/>
          <w:sz w:val="24"/>
          <w:szCs w:val="24"/>
          <w:lang w:val="en-GB"/>
        </w:rPr>
        <w:t xml:space="preserve"> a 38-patient audit in four sites to demonstrate organizational, procedure and patient factors affecting discharge</w:t>
      </w:r>
      <w:r w:rsidR="00B93F8F" w:rsidRPr="007B3B90">
        <w:rPr>
          <w:rFonts w:cs="Arial"/>
          <w:sz w:val="24"/>
          <w:szCs w:val="24"/>
          <w:lang w:val="en-GB"/>
        </w:rPr>
        <w:t>.</w:t>
      </w:r>
    </w:p>
    <w:p w14:paraId="35FD3A98" w14:textId="77777777" w:rsidR="007B48D6" w:rsidRPr="007B3B90" w:rsidRDefault="007B48D6" w:rsidP="00100304">
      <w:pPr>
        <w:pStyle w:val="Indent2"/>
        <w:spacing w:after="0"/>
        <w:ind w:left="0"/>
        <w:jc w:val="both"/>
        <w:rPr>
          <w:rFonts w:cs="Arial"/>
          <w:sz w:val="24"/>
          <w:szCs w:val="24"/>
          <w:lang w:val="en-GB"/>
        </w:rPr>
      </w:pPr>
    </w:p>
    <w:p w14:paraId="4C97E603" w14:textId="4FCE1988" w:rsidR="006C319C" w:rsidRPr="007B3B90" w:rsidRDefault="006C319C" w:rsidP="00100304">
      <w:pPr>
        <w:pStyle w:val="Indent2"/>
        <w:spacing w:after="0"/>
        <w:ind w:left="0"/>
        <w:jc w:val="both"/>
        <w:rPr>
          <w:rFonts w:cs="Arial"/>
          <w:sz w:val="24"/>
          <w:szCs w:val="24"/>
          <w:lang w:val="en-GB"/>
        </w:rPr>
      </w:pPr>
      <w:r w:rsidRPr="007B3B90">
        <w:rPr>
          <w:rFonts w:cs="Arial"/>
          <w:sz w:val="24"/>
          <w:szCs w:val="24"/>
          <w:lang w:val="en-GB"/>
        </w:rPr>
        <w:t xml:space="preserve">These </w:t>
      </w:r>
      <w:r w:rsidR="007B48D6" w:rsidRPr="007B3B90">
        <w:rPr>
          <w:rFonts w:cs="Arial"/>
          <w:sz w:val="24"/>
          <w:szCs w:val="24"/>
          <w:lang w:val="en-GB"/>
        </w:rPr>
        <w:t xml:space="preserve">preparatory investigations </w:t>
      </w:r>
      <w:r w:rsidRPr="007B3B90">
        <w:rPr>
          <w:rFonts w:cs="Arial"/>
          <w:sz w:val="24"/>
          <w:szCs w:val="24"/>
          <w:lang w:val="en-GB"/>
        </w:rPr>
        <w:t xml:space="preserve">have highlighted some of the necessary pre-operative and follow-up arrangements that will have to be in place to support patients, such as patient information, pre-booked telephone calls and appointments </w:t>
      </w:r>
      <w:r w:rsidR="0039581A" w:rsidRPr="007B3B90">
        <w:rPr>
          <w:rFonts w:cs="Arial"/>
          <w:sz w:val="24"/>
          <w:szCs w:val="24"/>
          <w:lang w:val="en-GB"/>
        </w:rPr>
        <w:t>and</w:t>
      </w:r>
      <w:r w:rsidRPr="007B3B90">
        <w:rPr>
          <w:rFonts w:cs="Arial"/>
          <w:sz w:val="24"/>
          <w:szCs w:val="24"/>
          <w:lang w:val="en-GB"/>
        </w:rPr>
        <w:t xml:space="preserve"> placed a primary emphasis on social discharge planning</w:t>
      </w:r>
      <w:r w:rsidR="007B48D6" w:rsidRPr="007B3B90">
        <w:rPr>
          <w:rFonts w:cs="Arial"/>
          <w:sz w:val="24"/>
          <w:szCs w:val="24"/>
          <w:lang w:val="en-GB"/>
        </w:rPr>
        <w:t xml:space="preserve">, hence the need to </w:t>
      </w:r>
      <w:r w:rsidR="00844CB7" w:rsidRPr="007B3B90">
        <w:rPr>
          <w:rFonts w:cs="Arial"/>
          <w:sz w:val="24"/>
          <w:szCs w:val="24"/>
          <w:lang w:val="en-GB"/>
        </w:rPr>
        <w:t>incorporate a design phase in the research plan.</w:t>
      </w:r>
    </w:p>
    <w:p w14:paraId="0051DF7B" w14:textId="77777777" w:rsidR="0040286E" w:rsidRPr="007B3B90" w:rsidRDefault="0040286E" w:rsidP="00100304">
      <w:bookmarkStart w:id="4" w:name="xxxxx"/>
      <w:bookmarkEnd w:id="4"/>
    </w:p>
    <w:p w14:paraId="0300D87A" w14:textId="050F60F2" w:rsidR="00663512" w:rsidRPr="007B3B90" w:rsidRDefault="00663512" w:rsidP="00100304">
      <w:pPr>
        <w:pStyle w:val="QAHeading2"/>
        <w:numPr>
          <w:ilvl w:val="1"/>
          <w:numId w:val="2"/>
        </w:numPr>
        <w:rPr>
          <w:sz w:val="24"/>
          <w:szCs w:val="24"/>
        </w:rPr>
      </w:pPr>
      <w:bookmarkStart w:id="5" w:name="_Toc33098105"/>
      <w:r w:rsidRPr="007B3B90">
        <w:rPr>
          <w:sz w:val="24"/>
          <w:szCs w:val="24"/>
        </w:rPr>
        <w:t>RATIONALE FOR CURRENT STUDY</w:t>
      </w:r>
      <w:bookmarkEnd w:id="5"/>
    </w:p>
    <w:p w14:paraId="3179EEAA" w14:textId="4536F027" w:rsidR="00663512" w:rsidRPr="007B3B90" w:rsidRDefault="00663512" w:rsidP="00100304">
      <w:pPr>
        <w:jc w:val="both"/>
        <w:rPr>
          <w:b/>
          <w:bCs/>
        </w:rPr>
      </w:pPr>
    </w:p>
    <w:p w14:paraId="45FC4790" w14:textId="5B5D1715" w:rsidR="00844CB7" w:rsidRPr="007B3B90" w:rsidRDefault="00844CB7" w:rsidP="00100304">
      <w:pPr>
        <w:pStyle w:val="Indent2"/>
        <w:spacing w:after="0"/>
        <w:ind w:left="0"/>
        <w:jc w:val="both"/>
        <w:rPr>
          <w:rFonts w:cs="Arial"/>
          <w:sz w:val="24"/>
          <w:szCs w:val="24"/>
          <w:lang w:val="en-GB"/>
        </w:rPr>
      </w:pPr>
      <w:r w:rsidRPr="007B3B90">
        <w:rPr>
          <w:rFonts w:cs="Arial"/>
          <w:sz w:val="24"/>
          <w:szCs w:val="24"/>
          <w:lang w:val="en-GB"/>
        </w:rPr>
        <w:t xml:space="preserve">It seems that the potential benefits of short stay EVAR could include increased satisfaction and care for recovery in a home environment, reduced adverse event rates from hospital care and a vital reduction in utilization of hospital services perhaps translating into a reduced cost. </w:t>
      </w:r>
      <w:r w:rsidR="00676748" w:rsidRPr="007B3B90">
        <w:rPr>
          <w:rFonts w:cs="Arial"/>
          <w:sz w:val="24"/>
          <w:szCs w:val="24"/>
          <w:lang w:val="en-GB"/>
        </w:rPr>
        <w:t xml:space="preserve">In addition, the option of a safe short-stay EVAR procedure could allow many urgent patients to be treated in short stay wards away from the general ward which may be overrun with COVID. </w:t>
      </w:r>
      <w:r w:rsidRPr="007B3B90">
        <w:rPr>
          <w:rFonts w:cs="Arial"/>
          <w:sz w:val="24"/>
          <w:szCs w:val="24"/>
          <w:lang w:val="en-GB"/>
        </w:rPr>
        <w:t xml:space="preserve">There are, however, many barriers to implementation including patient, </w:t>
      </w:r>
      <w:r w:rsidR="0039581A" w:rsidRPr="007B3B90">
        <w:rPr>
          <w:rFonts w:cs="Arial"/>
          <w:sz w:val="24"/>
          <w:szCs w:val="24"/>
          <w:lang w:val="en-GB"/>
        </w:rPr>
        <w:t>carer,</w:t>
      </w:r>
      <w:r w:rsidRPr="007B3B90">
        <w:rPr>
          <w:rFonts w:cs="Arial"/>
          <w:sz w:val="24"/>
          <w:szCs w:val="24"/>
          <w:lang w:val="en-GB"/>
        </w:rPr>
        <w:t xml:space="preserve"> and General Practitioner (GP) concerns regarding late recognition of and being away from immediate medical care for major complications and an increased burden on the family unit, GPs &amp; community health and social care.</w:t>
      </w:r>
    </w:p>
    <w:p w14:paraId="7A523241" w14:textId="77777777" w:rsidR="00844CB7" w:rsidRPr="007B3B90" w:rsidRDefault="00844CB7" w:rsidP="00844CB7">
      <w:pPr>
        <w:pStyle w:val="Indent2"/>
        <w:spacing w:after="0"/>
        <w:ind w:left="0" w:right="301"/>
        <w:jc w:val="both"/>
        <w:rPr>
          <w:rFonts w:cs="Arial"/>
          <w:sz w:val="24"/>
          <w:szCs w:val="24"/>
          <w:lang w:val="en-GB"/>
        </w:rPr>
      </w:pPr>
    </w:p>
    <w:p w14:paraId="3E5EEABD" w14:textId="5FEE1066" w:rsidR="00844CB7" w:rsidRPr="007B3B90" w:rsidRDefault="00844CB7" w:rsidP="00100304">
      <w:pPr>
        <w:pStyle w:val="Indent2"/>
        <w:spacing w:after="0"/>
        <w:ind w:left="0"/>
        <w:jc w:val="both"/>
        <w:rPr>
          <w:rFonts w:cs="Arial"/>
          <w:sz w:val="24"/>
          <w:szCs w:val="24"/>
          <w:lang w:val="en-GB"/>
        </w:rPr>
      </w:pPr>
      <w:r w:rsidRPr="007B3B90">
        <w:rPr>
          <w:rFonts w:cs="Arial"/>
          <w:sz w:val="24"/>
          <w:szCs w:val="24"/>
          <w:lang w:val="en-GB"/>
        </w:rPr>
        <w:lastRenderedPageBreak/>
        <w:t xml:space="preserve">On a nationwide basis, we do not know the proportion of patients who would be suitable for, or accept 23-hour EVAR, whether this leads to unreported major adverse events or readmissions, unrecognized complications and most importantly whether patients, their families and family practitioners are satisfied with this approach, outcomes highlighted in the NHS outcomes framework 2013/14 [9]. Equally we do not know how institutions </w:t>
      </w:r>
      <w:r w:rsidR="00314C26" w:rsidRPr="007B3B90">
        <w:rPr>
          <w:rFonts w:cs="Arial"/>
          <w:sz w:val="24"/>
          <w:szCs w:val="24"/>
          <w:lang w:val="en-GB"/>
        </w:rPr>
        <w:t>across</w:t>
      </w:r>
      <w:r w:rsidRPr="007B3B90">
        <w:rPr>
          <w:rFonts w:cs="Arial"/>
          <w:sz w:val="24"/>
          <w:szCs w:val="24"/>
          <w:lang w:val="en-GB"/>
        </w:rPr>
        <w:t xml:space="preserve"> the NHS would take up this approach.</w:t>
      </w:r>
    </w:p>
    <w:p w14:paraId="6D93165E" w14:textId="77777777" w:rsidR="00844CB7" w:rsidRPr="007B3B90" w:rsidRDefault="00844CB7" w:rsidP="00B93F8F">
      <w:pPr>
        <w:tabs>
          <w:tab w:val="left" w:pos="3402"/>
          <w:tab w:val="left" w:pos="9639"/>
          <w:tab w:val="left" w:pos="9781"/>
          <w:tab w:val="left" w:pos="10065"/>
        </w:tabs>
        <w:jc w:val="both"/>
        <w:rPr>
          <w:rFonts w:cs="Arial"/>
          <w:bCs/>
        </w:rPr>
      </w:pPr>
    </w:p>
    <w:p w14:paraId="2FC2E8A7" w14:textId="362CBE73" w:rsidR="009F4EBD" w:rsidRPr="007B3B90" w:rsidRDefault="009F4EBD" w:rsidP="00B93F8F">
      <w:pPr>
        <w:tabs>
          <w:tab w:val="left" w:pos="3402"/>
          <w:tab w:val="left" w:pos="9639"/>
          <w:tab w:val="left" w:pos="9781"/>
          <w:tab w:val="left" w:pos="10065"/>
        </w:tabs>
        <w:jc w:val="both"/>
        <w:rPr>
          <w:rFonts w:cs="Arial"/>
          <w:bCs/>
        </w:rPr>
      </w:pPr>
      <w:r w:rsidRPr="007B3B90">
        <w:rPr>
          <w:rFonts w:cs="Arial"/>
          <w:bCs/>
        </w:rPr>
        <w:t>W</w:t>
      </w:r>
      <w:r w:rsidR="00844CB7" w:rsidRPr="007B3B90">
        <w:rPr>
          <w:rFonts w:cs="Arial"/>
          <w:bCs/>
        </w:rPr>
        <w:t>e hypothesise that w</w:t>
      </w:r>
      <w:r w:rsidRPr="007B3B90">
        <w:rPr>
          <w:rFonts w:cs="Arial"/>
          <w:bCs/>
        </w:rPr>
        <w:t>ith appropriate multi stakeholder co-design of a short stay aneurysm pathway, there is a significant cohort (greater than 50%) of EVAR patients who would be eligible and accept to undergo STAR, be discharged within 23 hours without any increase in complications or mortality and without a decrease in patient satisfaction or excessive burden on community resources. Consequently, we hypothesize that the cost effectiveness of EVAR can be significantly improved.</w:t>
      </w:r>
    </w:p>
    <w:p w14:paraId="67A7E9B9" w14:textId="77777777" w:rsidR="009F4EBD" w:rsidRPr="007B3B90" w:rsidRDefault="009F4EBD" w:rsidP="00663512">
      <w:pPr>
        <w:jc w:val="both"/>
        <w:rPr>
          <w:b/>
          <w:bCs/>
        </w:rPr>
      </w:pPr>
    </w:p>
    <w:p w14:paraId="2DC5C255" w14:textId="77777777" w:rsidR="00663512" w:rsidRPr="007B3B90" w:rsidRDefault="00663512" w:rsidP="00663512">
      <w:pPr>
        <w:jc w:val="both"/>
        <w:rPr>
          <w:b/>
          <w:bCs/>
        </w:rPr>
      </w:pPr>
    </w:p>
    <w:p w14:paraId="16BCF0CD" w14:textId="77777777" w:rsidR="00663512" w:rsidRPr="007B3B90" w:rsidRDefault="00663512" w:rsidP="00D45A17">
      <w:pPr>
        <w:pStyle w:val="Heading1"/>
        <w:rPr>
          <w:sz w:val="24"/>
        </w:rPr>
      </w:pPr>
      <w:bookmarkStart w:id="6" w:name="_Toc33089430"/>
      <w:bookmarkStart w:id="7" w:name="_Toc33098106"/>
      <w:r w:rsidRPr="007B3B90">
        <w:rPr>
          <w:sz w:val="24"/>
        </w:rPr>
        <w:t>STUDY OBJECTIVES</w:t>
      </w:r>
      <w:bookmarkEnd w:id="6"/>
      <w:bookmarkEnd w:id="7"/>
    </w:p>
    <w:p w14:paraId="2CEBE2AC" w14:textId="77777777" w:rsidR="004979BB" w:rsidRPr="007B3B90" w:rsidRDefault="004979BB" w:rsidP="00376E48">
      <w:pPr>
        <w:ind w:right="301"/>
        <w:rPr>
          <w:rFonts w:cs="Arial"/>
        </w:rPr>
      </w:pPr>
    </w:p>
    <w:p w14:paraId="67A5D036" w14:textId="6491D26F" w:rsidR="001F0286" w:rsidRDefault="001F0286" w:rsidP="001F0286">
      <w:pPr>
        <w:autoSpaceDE w:val="0"/>
        <w:autoSpaceDN w:val="0"/>
        <w:adjustRightInd w:val="0"/>
        <w:rPr>
          <w:rFonts w:cs="Arial"/>
          <w:bCs/>
          <w:iCs/>
        </w:rPr>
      </w:pPr>
      <w:r w:rsidRPr="001F0286">
        <w:rPr>
          <w:rFonts w:cs="Arial"/>
          <w:bCs/>
          <w:iCs/>
        </w:rPr>
        <w:t>The pr</w:t>
      </w:r>
      <w:r>
        <w:rPr>
          <w:rFonts w:cs="Arial"/>
          <w:bCs/>
          <w:iCs/>
        </w:rPr>
        <w:t>imary</w:t>
      </w:r>
      <w:r w:rsidRPr="001F0286">
        <w:rPr>
          <w:rFonts w:cs="Arial"/>
          <w:bCs/>
          <w:iCs/>
        </w:rPr>
        <w:t xml:space="preserve"> research objective</w:t>
      </w:r>
      <w:r>
        <w:rPr>
          <w:rFonts w:cs="Arial"/>
          <w:bCs/>
          <w:iCs/>
        </w:rPr>
        <w:t>s are:</w:t>
      </w:r>
    </w:p>
    <w:p w14:paraId="4942D440" w14:textId="77777777" w:rsidR="001F0286" w:rsidRDefault="001F0286" w:rsidP="001F0286">
      <w:pPr>
        <w:autoSpaceDE w:val="0"/>
        <w:autoSpaceDN w:val="0"/>
        <w:adjustRightInd w:val="0"/>
        <w:rPr>
          <w:rFonts w:cs="Arial"/>
          <w:bCs/>
          <w:iCs/>
        </w:rPr>
      </w:pPr>
    </w:p>
    <w:p w14:paraId="774FCDFB" w14:textId="10CA3A4D" w:rsidR="001F0286" w:rsidRPr="001F0286" w:rsidRDefault="001F0286" w:rsidP="001F0286">
      <w:pPr>
        <w:pStyle w:val="ListParagraph"/>
        <w:numPr>
          <w:ilvl w:val="0"/>
          <w:numId w:val="34"/>
        </w:numPr>
        <w:autoSpaceDE w:val="0"/>
        <w:autoSpaceDN w:val="0"/>
        <w:adjustRightInd w:val="0"/>
        <w:rPr>
          <w:rFonts w:cs="Arial"/>
          <w:bCs/>
          <w:iCs/>
        </w:rPr>
      </w:pPr>
      <w:r w:rsidRPr="001F0286">
        <w:rPr>
          <w:rFonts w:cs="Arial"/>
          <w:bCs/>
          <w:iCs/>
        </w:rPr>
        <w:t>To test this designed pathway</w:t>
      </w:r>
      <w:r>
        <w:rPr>
          <w:rFonts w:cs="Arial"/>
          <w:bCs/>
          <w:iCs/>
        </w:rPr>
        <w:t xml:space="preserve"> (STAR)</w:t>
      </w:r>
      <w:r w:rsidRPr="001F0286">
        <w:rPr>
          <w:rFonts w:cs="Arial"/>
          <w:bCs/>
          <w:iCs/>
        </w:rPr>
        <w:t xml:space="preserve"> within a cohort of patients undergoing Endovascular Aortic Aneurysm Repair (EVAR) who are representative of the UK</w:t>
      </w:r>
      <w:r>
        <w:rPr>
          <w:rFonts w:cs="Arial"/>
          <w:bCs/>
          <w:iCs/>
        </w:rPr>
        <w:t xml:space="preserve"> </w:t>
      </w:r>
      <w:r w:rsidRPr="001F0286">
        <w:rPr>
          <w:rFonts w:cs="Arial"/>
          <w:bCs/>
          <w:iCs/>
        </w:rPr>
        <w:t>caseload, enrolled over 12-months and each followed-up for a minimum of 6 months</w:t>
      </w:r>
    </w:p>
    <w:p w14:paraId="22644CCD" w14:textId="0FF49728" w:rsidR="001F0286" w:rsidRDefault="001F0286" w:rsidP="001F0286">
      <w:pPr>
        <w:pStyle w:val="ListParagraph"/>
        <w:numPr>
          <w:ilvl w:val="0"/>
          <w:numId w:val="34"/>
        </w:numPr>
        <w:autoSpaceDE w:val="0"/>
        <w:autoSpaceDN w:val="0"/>
        <w:adjustRightInd w:val="0"/>
        <w:rPr>
          <w:rFonts w:cs="Arial"/>
          <w:bCs/>
          <w:iCs/>
        </w:rPr>
      </w:pPr>
      <w:r>
        <w:rPr>
          <w:rFonts w:cs="Arial"/>
          <w:bCs/>
          <w:iCs/>
        </w:rPr>
        <w:t>T</w:t>
      </w:r>
      <w:r w:rsidRPr="001F0286">
        <w:rPr>
          <w:rFonts w:cs="Arial"/>
          <w:bCs/>
          <w:iCs/>
        </w:rPr>
        <w:t>o report the eligibility, uptake, viability, acceptability and safety of a 23-hour pathway</w:t>
      </w:r>
      <w:r>
        <w:rPr>
          <w:rFonts w:cs="Arial"/>
          <w:bCs/>
          <w:iCs/>
        </w:rPr>
        <w:t xml:space="preserve"> </w:t>
      </w:r>
      <w:r w:rsidRPr="001F0286">
        <w:rPr>
          <w:rFonts w:cs="Arial"/>
          <w:bCs/>
          <w:iCs/>
        </w:rPr>
        <w:t xml:space="preserve">for </w:t>
      </w:r>
      <w:r>
        <w:rPr>
          <w:rFonts w:cs="Arial"/>
          <w:bCs/>
          <w:iCs/>
        </w:rPr>
        <w:t>this</w:t>
      </w:r>
      <w:r w:rsidRPr="001F0286">
        <w:rPr>
          <w:rFonts w:cs="Arial"/>
          <w:bCs/>
          <w:iCs/>
        </w:rPr>
        <w:t xml:space="preserve"> cohort</w:t>
      </w:r>
      <w:r>
        <w:rPr>
          <w:rFonts w:cs="Arial"/>
          <w:bCs/>
          <w:iCs/>
        </w:rPr>
        <w:t>.</w:t>
      </w:r>
    </w:p>
    <w:p w14:paraId="7063B06E" w14:textId="6BF23F59" w:rsidR="004979BB" w:rsidRPr="001F0286" w:rsidRDefault="001F0286" w:rsidP="001F0286">
      <w:pPr>
        <w:pStyle w:val="ListParagraph"/>
        <w:numPr>
          <w:ilvl w:val="0"/>
          <w:numId w:val="34"/>
        </w:numPr>
        <w:tabs>
          <w:tab w:val="left" w:pos="9639"/>
          <w:tab w:val="left" w:pos="9781"/>
          <w:tab w:val="left" w:pos="10065"/>
        </w:tabs>
        <w:contextualSpacing w:val="0"/>
        <w:jc w:val="both"/>
        <w:rPr>
          <w:rFonts w:cs="Arial"/>
          <w:bCs/>
          <w:iCs/>
        </w:rPr>
      </w:pPr>
      <w:r w:rsidRPr="007B3B90">
        <w:rPr>
          <w:rFonts w:cs="Arial"/>
          <w:bCs/>
          <w:iCs/>
        </w:rPr>
        <w:t>Provide detailed costs of the pathway</w:t>
      </w:r>
    </w:p>
    <w:p w14:paraId="6798D8D0" w14:textId="74AA9B5B" w:rsidR="00663512" w:rsidRPr="007B3B90" w:rsidRDefault="00663512" w:rsidP="00663512"/>
    <w:p w14:paraId="6DC299B9" w14:textId="7761FA44" w:rsidR="00663512" w:rsidRDefault="001F0286" w:rsidP="00663512">
      <w:r>
        <w:t>The secondary research objectives include:</w:t>
      </w:r>
    </w:p>
    <w:p w14:paraId="124BEA2C" w14:textId="04CAF652" w:rsidR="001F0286" w:rsidRDefault="001F0286" w:rsidP="00663512"/>
    <w:p w14:paraId="795865C0" w14:textId="17D468F3" w:rsidR="001F0286" w:rsidRPr="001F0286" w:rsidRDefault="001F0286" w:rsidP="001F0286">
      <w:pPr>
        <w:pStyle w:val="ListParagraph"/>
        <w:numPr>
          <w:ilvl w:val="0"/>
          <w:numId w:val="36"/>
        </w:numPr>
        <w:autoSpaceDE w:val="0"/>
        <w:autoSpaceDN w:val="0"/>
        <w:adjustRightInd w:val="0"/>
        <w:rPr>
          <w:rFonts w:cs="Arial"/>
          <w:bCs/>
          <w:iCs/>
        </w:rPr>
      </w:pPr>
      <w:r w:rsidRPr="001F0286">
        <w:rPr>
          <w:rFonts w:cs="Arial"/>
          <w:bCs/>
          <w:iCs/>
        </w:rPr>
        <w:t>To provide generalisable strategies for implementation of STAR across the National Health Service.</w:t>
      </w:r>
    </w:p>
    <w:p w14:paraId="4ACAF962" w14:textId="3D15395F" w:rsidR="001F0286" w:rsidRPr="001F0286" w:rsidRDefault="001F0286" w:rsidP="001F0286">
      <w:pPr>
        <w:pStyle w:val="ListParagraph"/>
        <w:numPr>
          <w:ilvl w:val="0"/>
          <w:numId w:val="36"/>
        </w:numPr>
        <w:autoSpaceDE w:val="0"/>
        <w:autoSpaceDN w:val="0"/>
        <w:adjustRightInd w:val="0"/>
        <w:rPr>
          <w:rFonts w:cs="Arial"/>
          <w:bCs/>
          <w:iCs/>
        </w:rPr>
      </w:pPr>
      <w:r w:rsidRPr="001F0286">
        <w:rPr>
          <w:rFonts w:cs="Arial"/>
          <w:bCs/>
          <w:iCs/>
        </w:rPr>
        <w:t xml:space="preserve">Creation of a “tool-kit” to facilitate implementation </w:t>
      </w:r>
      <w:r>
        <w:rPr>
          <w:rFonts w:cs="Arial"/>
          <w:bCs/>
          <w:iCs/>
        </w:rPr>
        <w:t>across the National Health Service.</w:t>
      </w:r>
    </w:p>
    <w:p w14:paraId="54B3BEC4" w14:textId="77777777" w:rsidR="001F0286" w:rsidRDefault="001F0286" w:rsidP="001F0286">
      <w:pPr>
        <w:pStyle w:val="ListParagraph"/>
      </w:pPr>
    </w:p>
    <w:p w14:paraId="5D903934" w14:textId="77777777" w:rsidR="00663512" w:rsidRPr="007B3B90" w:rsidRDefault="00663512" w:rsidP="00D45A17">
      <w:pPr>
        <w:pStyle w:val="Heading1"/>
        <w:rPr>
          <w:sz w:val="24"/>
        </w:rPr>
      </w:pPr>
      <w:bookmarkStart w:id="8" w:name="_Toc33089431"/>
      <w:bookmarkStart w:id="9" w:name="_Toc33098107"/>
      <w:r w:rsidRPr="007B3B90">
        <w:rPr>
          <w:sz w:val="24"/>
        </w:rPr>
        <w:t>STUDY DESIGN</w:t>
      </w:r>
      <w:bookmarkEnd w:id="8"/>
      <w:bookmarkEnd w:id="9"/>
    </w:p>
    <w:p w14:paraId="00EF686B" w14:textId="7D72FC43" w:rsidR="00663512" w:rsidRPr="007B3B90" w:rsidRDefault="00663512" w:rsidP="00663512"/>
    <w:p w14:paraId="50207DDE" w14:textId="4A879955" w:rsidR="008B26C6" w:rsidRPr="008A3961" w:rsidRDefault="008B26C6" w:rsidP="00943D5B">
      <w:pPr>
        <w:pStyle w:val="Indent2"/>
        <w:spacing w:after="0"/>
        <w:ind w:left="0" w:right="301"/>
        <w:jc w:val="both"/>
        <w:rPr>
          <w:rFonts w:cs="Arial"/>
          <w:color w:val="000000" w:themeColor="text1"/>
          <w:sz w:val="24"/>
          <w:szCs w:val="24"/>
          <w:lang w:val="en-GB"/>
        </w:rPr>
      </w:pPr>
      <w:r w:rsidRPr="008D288A">
        <w:rPr>
          <w:rFonts w:cs="Arial"/>
          <w:b/>
          <w:bCs/>
          <w:color w:val="000000" w:themeColor="text1"/>
          <w:sz w:val="24"/>
          <w:szCs w:val="24"/>
          <w:lang w:val="en-GB"/>
        </w:rPr>
        <w:t>S</w:t>
      </w:r>
      <w:r w:rsidR="00242838">
        <w:rPr>
          <w:rFonts w:cs="Arial"/>
          <w:b/>
          <w:bCs/>
          <w:color w:val="000000" w:themeColor="text1"/>
          <w:sz w:val="24"/>
          <w:szCs w:val="24"/>
          <w:lang w:val="en-GB"/>
        </w:rPr>
        <w:t>UMMARY</w:t>
      </w:r>
      <w:r w:rsidRPr="008A3961">
        <w:rPr>
          <w:rFonts w:cs="Arial"/>
          <w:color w:val="000000" w:themeColor="text1"/>
          <w:sz w:val="24"/>
          <w:szCs w:val="24"/>
          <w:lang w:val="en-GB"/>
        </w:rPr>
        <w:t xml:space="preserve">: </w:t>
      </w:r>
    </w:p>
    <w:p w14:paraId="7CEBAEE5" w14:textId="77777777" w:rsidR="008B26C6" w:rsidRPr="008A3961" w:rsidRDefault="008B26C6" w:rsidP="00943D5B">
      <w:pPr>
        <w:pStyle w:val="Indent2"/>
        <w:spacing w:after="0"/>
        <w:ind w:left="0" w:right="301"/>
        <w:jc w:val="both"/>
        <w:rPr>
          <w:rFonts w:cs="Arial"/>
          <w:color w:val="000000" w:themeColor="text1"/>
          <w:sz w:val="24"/>
          <w:szCs w:val="24"/>
          <w:lang w:val="en-GB"/>
        </w:rPr>
      </w:pPr>
    </w:p>
    <w:p w14:paraId="27FCAFFC" w14:textId="60BABD04" w:rsidR="00442D0D" w:rsidRPr="008A3961" w:rsidRDefault="00442D0D" w:rsidP="00100304">
      <w:pPr>
        <w:pStyle w:val="Indent2"/>
        <w:spacing w:after="0"/>
        <w:ind w:left="0"/>
        <w:jc w:val="both"/>
        <w:rPr>
          <w:rFonts w:cs="Arial"/>
          <w:color w:val="000000" w:themeColor="text1"/>
          <w:sz w:val="24"/>
          <w:szCs w:val="24"/>
          <w:lang w:val="en-GB"/>
        </w:rPr>
      </w:pPr>
      <w:r w:rsidRPr="008A3961">
        <w:rPr>
          <w:rFonts w:cs="Arial"/>
          <w:color w:val="000000" w:themeColor="text1"/>
          <w:sz w:val="24"/>
          <w:szCs w:val="24"/>
          <w:lang w:val="en-GB"/>
        </w:rPr>
        <w:t xml:space="preserve">The STAR study is a prospective </w:t>
      </w:r>
      <w:r w:rsidRPr="007B3B90">
        <w:rPr>
          <w:rFonts w:cs="Arial"/>
          <w:color w:val="000000" w:themeColor="text1"/>
          <w:sz w:val="24"/>
          <w:szCs w:val="24"/>
          <w:lang w:val="en-GB"/>
        </w:rPr>
        <w:t>multicentr</w:t>
      </w:r>
      <w:r w:rsidR="00BC762A" w:rsidRPr="007B3B90">
        <w:rPr>
          <w:rFonts w:cs="Arial"/>
          <w:color w:val="000000" w:themeColor="text1"/>
          <w:sz w:val="24"/>
          <w:szCs w:val="24"/>
          <w:lang w:val="en-GB"/>
        </w:rPr>
        <w:t>e</w:t>
      </w:r>
      <w:r w:rsidRPr="008A3961">
        <w:rPr>
          <w:rFonts w:cs="Arial"/>
          <w:color w:val="000000" w:themeColor="text1"/>
          <w:sz w:val="24"/>
          <w:szCs w:val="24"/>
          <w:lang w:val="en-GB"/>
        </w:rPr>
        <w:t xml:space="preserve"> observational cohort study to assess the </w:t>
      </w:r>
      <w:r w:rsidRPr="008A3961">
        <w:rPr>
          <w:rFonts w:cs="Arial"/>
          <w:iCs/>
          <w:color w:val="000000" w:themeColor="text1"/>
          <w:sz w:val="24"/>
          <w:szCs w:val="24"/>
          <w:lang w:val="en-GB"/>
        </w:rPr>
        <w:t xml:space="preserve">eligibility, uptake, viability, acceptability, safety and cost of a short stay (23-hour) aneurysm pathway for infrarenal AAA patients. </w:t>
      </w:r>
    </w:p>
    <w:p w14:paraId="0242C4B4" w14:textId="77777777" w:rsidR="00442D0D" w:rsidRPr="007B3B90" w:rsidRDefault="00442D0D" w:rsidP="00B93F8F">
      <w:pPr>
        <w:tabs>
          <w:tab w:val="left" w:pos="9639"/>
          <w:tab w:val="left" w:pos="9781"/>
          <w:tab w:val="left" w:pos="10065"/>
        </w:tabs>
        <w:ind w:left="567"/>
        <w:jc w:val="both"/>
        <w:rPr>
          <w:rFonts w:cs="Arial"/>
          <w:iCs/>
          <w:color w:val="000000" w:themeColor="text1"/>
        </w:rPr>
      </w:pPr>
    </w:p>
    <w:p w14:paraId="5680DAA5" w14:textId="6CA29C4B" w:rsidR="00442D0D" w:rsidRPr="007B3B90" w:rsidRDefault="00442D0D" w:rsidP="00B93F8F">
      <w:pPr>
        <w:tabs>
          <w:tab w:val="left" w:pos="9639"/>
          <w:tab w:val="left" w:pos="9781"/>
          <w:tab w:val="left" w:pos="10065"/>
        </w:tabs>
        <w:jc w:val="both"/>
        <w:rPr>
          <w:rFonts w:cs="Arial"/>
          <w:iCs/>
          <w:color w:val="000000" w:themeColor="text1"/>
        </w:rPr>
      </w:pPr>
      <w:r w:rsidRPr="007B3B90">
        <w:rPr>
          <w:rFonts w:cs="Arial"/>
          <w:iCs/>
          <w:color w:val="000000" w:themeColor="text1"/>
        </w:rPr>
        <w:t>The study will take place</w:t>
      </w:r>
      <w:r w:rsidR="0039581A">
        <w:rPr>
          <w:rFonts w:cs="Arial"/>
          <w:iCs/>
          <w:color w:val="000000" w:themeColor="text1"/>
        </w:rPr>
        <w:t xml:space="preserve"> in</w:t>
      </w:r>
      <w:r w:rsidRPr="007B3B90">
        <w:rPr>
          <w:rFonts w:cs="Arial"/>
          <w:iCs/>
          <w:color w:val="000000" w:themeColor="text1"/>
        </w:rPr>
        <w:t xml:space="preserve"> at</w:t>
      </w:r>
      <w:r w:rsidR="00406537" w:rsidRPr="007B3B90">
        <w:rPr>
          <w:rFonts w:cs="Arial"/>
          <w:iCs/>
          <w:color w:val="000000" w:themeColor="text1"/>
        </w:rPr>
        <w:t xml:space="preserve"> least </w:t>
      </w:r>
      <w:r w:rsidRPr="007B3B90">
        <w:rPr>
          <w:rFonts w:cs="Arial"/>
          <w:iCs/>
          <w:color w:val="000000" w:themeColor="text1"/>
        </w:rPr>
        <w:t xml:space="preserve">five sites in the United Kingdom. Over a 12-month recruitment period, all patients with AAA referred to or diagnosed at each of the units will be assessed for inclusion in the STAR pathway if suitable for EVAR. </w:t>
      </w:r>
      <w:r w:rsidRPr="007B3B90">
        <w:rPr>
          <w:rFonts w:cs="Arial"/>
          <w:iCs/>
          <w:color w:val="000000" w:themeColor="text1"/>
        </w:rPr>
        <w:lastRenderedPageBreak/>
        <w:t>We anticipate assessment of over 2</w:t>
      </w:r>
      <w:r w:rsidR="008B26C6" w:rsidRPr="007B3B90">
        <w:rPr>
          <w:rFonts w:cs="Arial"/>
          <w:iCs/>
          <w:color w:val="000000" w:themeColor="text1"/>
        </w:rPr>
        <w:t>0</w:t>
      </w:r>
      <w:r w:rsidRPr="007B3B90">
        <w:rPr>
          <w:rFonts w:cs="Arial"/>
          <w:iCs/>
          <w:color w:val="000000" w:themeColor="text1"/>
        </w:rPr>
        <w:t xml:space="preserve">0 AAA patients with an aim of recruiting </w:t>
      </w:r>
      <w:r w:rsidR="008B26C6" w:rsidRPr="007B3B90">
        <w:rPr>
          <w:rFonts w:cs="Arial"/>
          <w:iCs/>
          <w:color w:val="000000" w:themeColor="text1"/>
        </w:rPr>
        <w:t xml:space="preserve">up to </w:t>
      </w:r>
      <w:r w:rsidRPr="007B3B90">
        <w:rPr>
          <w:rFonts w:cs="Arial"/>
          <w:iCs/>
          <w:color w:val="000000" w:themeColor="text1"/>
        </w:rPr>
        <w:t xml:space="preserve">100 patients into the study to undergo EVAR using the STAR pathway. </w:t>
      </w:r>
    </w:p>
    <w:p w14:paraId="2850E10F" w14:textId="77777777" w:rsidR="00442D0D" w:rsidRPr="007B3B90" w:rsidRDefault="00442D0D" w:rsidP="00442D0D">
      <w:pPr>
        <w:tabs>
          <w:tab w:val="left" w:pos="9639"/>
          <w:tab w:val="left" w:pos="9781"/>
          <w:tab w:val="left" w:pos="10065"/>
        </w:tabs>
        <w:ind w:left="567" w:right="301"/>
        <w:jc w:val="both"/>
        <w:rPr>
          <w:rFonts w:cs="Arial"/>
          <w:iCs/>
          <w:color w:val="000000" w:themeColor="text1"/>
        </w:rPr>
      </w:pPr>
    </w:p>
    <w:p w14:paraId="41D6C342" w14:textId="7AA6E78A" w:rsidR="00442D0D" w:rsidRPr="00F91C3E" w:rsidRDefault="00442D0D" w:rsidP="00100304">
      <w:pPr>
        <w:pStyle w:val="Indent2"/>
        <w:spacing w:after="0"/>
        <w:ind w:left="0"/>
        <w:jc w:val="both"/>
        <w:rPr>
          <w:rFonts w:cs="Arial"/>
          <w:color w:val="000000" w:themeColor="text1"/>
          <w:sz w:val="24"/>
          <w:szCs w:val="24"/>
          <w:lang w:val="en-GB"/>
        </w:rPr>
      </w:pPr>
      <w:r w:rsidRPr="00F91C3E">
        <w:rPr>
          <w:rFonts w:cs="Arial"/>
          <w:color w:val="000000" w:themeColor="text1"/>
          <w:sz w:val="24"/>
          <w:szCs w:val="24"/>
          <w:lang w:val="en-GB"/>
        </w:rPr>
        <w:t>Patients may be enrolled into the study to undergo EVAR using the STAR pathway provided all inclusion and no exclusion criteria are met as specified in Section 4. Subjects will be evaluated through to hospital discharge</w:t>
      </w:r>
      <w:r w:rsidR="0039581A">
        <w:rPr>
          <w:rFonts w:cs="Arial"/>
          <w:color w:val="000000" w:themeColor="text1"/>
          <w:sz w:val="24"/>
          <w:szCs w:val="24"/>
          <w:lang w:val="en-GB"/>
        </w:rPr>
        <w:t>, receive a telephone call at 48 hours,</w:t>
      </w:r>
      <w:r w:rsidRPr="00F91C3E">
        <w:rPr>
          <w:rFonts w:cs="Arial"/>
          <w:color w:val="000000" w:themeColor="text1"/>
          <w:sz w:val="24"/>
          <w:szCs w:val="24"/>
          <w:lang w:val="en-GB"/>
        </w:rPr>
        <w:t xml:space="preserve"> return for follow-up visits at </w:t>
      </w:r>
      <w:r w:rsidR="002C6CFC" w:rsidRPr="00F91C3E">
        <w:rPr>
          <w:rFonts w:cs="Arial"/>
          <w:color w:val="000000" w:themeColor="text1"/>
          <w:sz w:val="24"/>
          <w:szCs w:val="24"/>
          <w:lang w:val="en-GB"/>
        </w:rPr>
        <w:t xml:space="preserve">one month and telephone follow ups at </w:t>
      </w:r>
      <w:r w:rsidR="0039581A" w:rsidRPr="00F91C3E">
        <w:rPr>
          <w:rFonts w:cs="Arial"/>
          <w:color w:val="000000" w:themeColor="text1"/>
          <w:sz w:val="24"/>
          <w:szCs w:val="24"/>
          <w:lang w:val="en-GB"/>
        </w:rPr>
        <w:t>three- and six-months</w:t>
      </w:r>
      <w:r w:rsidRPr="00F91C3E">
        <w:rPr>
          <w:rFonts w:cs="Arial"/>
          <w:color w:val="000000" w:themeColor="text1"/>
          <w:sz w:val="24"/>
          <w:szCs w:val="24"/>
          <w:lang w:val="en-GB"/>
        </w:rPr>
        <w:t xml:space="preserve"> post treatment. </w:t>
      </w:r>
      <w:r w:rsidR="002C6CFC" w:rsidRPr="00F91C3E">
        <w:rPr>
          <w:rFonts w:cs="Arial"/>
          <w:color w:val="000000" w:themeColor="text1"/>
          <w:sz w:val="24"/>
          <w:szCs w:val="24"/>
          <w:lang w:val="en-GB"/>
        </w:rPr>
        <w:t xml:space="preserve">Patients </w:t>
      </w:r>
      <w:r w:rsidR="00406537" w:rsidRPr="00F91C3E">
        <w:rPr>
          <w:rFonts w:cs="Arial"/>
          <w:color w:val="000000" w:themeColor="text1"/>
          <w:sz w:val="24"/>
          <w:szCs w:val="24"/>
          <w:lang w:val="en-GB"/>
        </w:rPr>
        <w:t xml:space="preserve">recruited into the study will </w:t>
      </w:r>
      <w:r w:rsidR="00442ACE" w:rsidRPr="00F91C3E">
        <w:rPr>
          <w:rFonts w:cs="Arial"/>
          <w:color w:val="000000" w:themeColor="text1"/>
          <w:sz w:val="24"/>
          <w:szCs w:val="24"/>
          <w:lang w:val="en-GB"/>
        </w:rPr>
        <w:t xml:space="preserve">have their routine clinical data collected at </w:t>
      </w:r>
      <w:r w:rsidR="0040286E" w:rsidRPr="00F91C3E">
        <w:rPr>
          <w:rFonts w:cs="Arial"/>
          <w:color w:val="000000" w:themeColor="text1"/>
          <w:sz w:val="24"/>
          <w:szCs w:val="24"/>
          <w:lang w:val="en-GB"/>
        </w:rPr>
        <w:t>12</w:t>
      </w:r>
      <w:r w:rsidR="002C6CFC" w:rsidRPr="00F91C3E">
        <w:rPr>
          <w:rFonts w:cs="Arial"/>
          <w:color w:val="000000" w:themeColor="text1"/>
          <w:sz w:val="24"/>
          <w:szCs w:val="24"/>
          <w:lang w:val="en-GB"/>
        </w:rPr>
        <w:t xml:space="preserve"> months</w:t>
      </w:r>
      <w:r w:rsidR="00406537" w:rsidRPr="00F91C3E">
        <w:rPr>
          <w:rFonts w:cs="Arial"/>
          <w:color w:val="000000" w:themeColor="text1"/>
          <w:sz w:val="24"/>
          <w:szCs w:val="24"/>
          <w:lang w:val="en-GB"/>
        </w:rPr>
        <w:t xml:space="preserve"> when they return for follow-up visits</w:t>
      </w:r>
      <w:r w:rsidR="002C6CFC" w:rsidRPr="00F91C3E">
        <w:rPr>
          <w:rFonts w:cs="Arial"/>
          <w:color w:val="000000" w:themeColor="text1"/>
          <w:sz w:val="24"/>
          <w:szCs w:val="24"/>
          <w:lang w:val="en-GB"/>
        </w:rPr>
        <w:t xml:space="preserve">. </w:t>
      </w:r>
    </w:p>
    <w:p w14:paraId="18AFAD6C" w14:textId="269CCF45" w:rsidR="009F682D" w:rsidRPr="00F91C3E" w:rsidRDefault="009F682D" w:rsidP="00100304">
      <w:pPr>
        <w:pStyle w:val="Indent2"/>
        <w:spacing w:after="0"/>
        <w:ind w:left="0"/>
        <w:jc w:val="both"/>
        <w:rPr>
          <w:rFonts w:cs="Arial"/>
          <w:color w:val="000000" w:themeColor="text1"/>
          <w:sz w:val="24"/>
          <w:szCs w:val="24"/>
          <w:lang w:val="en-GB"/>
        </w:rPr>
      </w:pPr>
    </w:p>
    <w:p w14:paraId="68C84508" w14:textId="0F1071EB" w:rsidR="009F682D" w:rsidRPr="00F91C3E" w:rsidRDefault="009F682D" w:rsidP="00100304">
      <w:pPr>
        <w:pStyle w:val="Indent2"/>
        <w:spacing w:after="0"/>
        <w:ind w:left="0"/>
        <w:jc w:val="both"/>
        <w:rPr>
          <w:rFonts w:cs="Arial"/>
          <w:color w:val="000000" w:themeColor="text1"/>
          <w:sz w:val="24"/>
          <w:szCs w:val="24"/>
          <w:lang w:val="en-GB"/>
        </w:rPr>
      </w:pPr>
      <w:r w:rsidRPr="00F91C3E">
        <w:rPr>
          <w:rFonts w:cs="Arial"/>
          <w:color w:val="000000" w:themeColor="text1"/>
          <w:sz w:val="24"/>
          <w:szCs w:val="24"/>
          <w:lang w:val="en-GB"/>
        </w:rPr>
        <w:t>Figure 1 shows the study outline:</w:t>
      </w:r>
    </w:p>
    <w:p w14:paraId="04EF056A" w14:textId="60AF5A18" w:rsidR="009F682D" w:rsidRPr="00F91C3E" w:rsidRDefault="009F682D" w:rsidP="00100304">
      <w:pPr>
        <w:pStyle w:val="Indent2"/>
        <w:spacing w:after="0"/>
        <w:ind w:left="0"/>
        <w:jc w:val="both"/>
        <w:rPr>
          <w:rFonts w:cs="Arial"/>
          <w:color w:val="000000" w:themeColor="text1"/>
          <w:sz w:val="24"/>
          <w:szCs w:val="24"/>
          <w:lang w:val="en-GB"/>
        </w:rPr>
      </w:pPr>
    </w:p>
    <w:p w14:paraId="42203977" w14:textId="509228E6" w:rsidR="009F682D" w:rsidRPr="00F91C3E" w:rsidRDefault="00442ACE" w:rsidP="00100304">
      <w:pPr>
        <w:pStyle w:val="Indent2"/>
        <w:spacing w:after="0"/>
        <w:ind w:left="0"/>
        <w:jc w:val="both"/>
        <w:rPr>
          <w:rFonts w:cs="Arial"/>
          <w:color w:val="000000" w:themeColor="text1"/>
          <w:sz w:val="24"/>
          <w:szCs w:val="24"/>
          <w:lang w:val="en-GB"/>
        </w:rPr>
      </w:pPr>
      <w:r w:rsidRPr="008A3961">
        <w:rPr>
          <w:rFonts w:cs="Arial"/>
          <w:noProof/>
          <w:color w:val="000000" w:themeColor="text1"/>
          <w:sz w:val="24"/>
          <w:szCs w:val="24"/>
          <w:lang w:val="en-GB" w:eastAsia="en-GB"/>
        </w:rPr>
        <w:drawing>
          <wp:inline distT="0" distB="0" distL="0" distR="0" wp14:anchorId="0A29DFCA" wp14:editId="74D20EC6">
            <wp:extent cx="4326467" cy="5790939"/>
            <wp:effectExtent l="0" t="0" r="4445"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39485" cy="5808363"/>
                    </a:xfrm>
                    <a:prstGeom prst="rect">
                      <a:avLst/>
                    </a:prstGeom>
                  </pic:spPr>
                </pic:pic>
              </a:graphicData>
            </a:graphic>
          </wp:inline>
        </w:drawing>
      </w:r>
    </w:p>
    <w:p w14:paraId="1FE92F6F" w14:textId="64963ACC" w:rsidR="0025192E" w:rsidRPr="00F91C3E" w:rsidRDefault="0025192E" w:rsidP="0095568B">
      <w:pPr>
        <w:pStyle w:val="Indent2"/>
        <w:spacing w:after="0"/>
        <w:ind w:left="0" w:right="301"/>
        <w:jc w:val="both"/>
        <w:rPr>
          <w:rFonts w:cs="Arial"/>
          <w:color w:val="000000" w:themeColor="text1"/>
          <w:sz w:val="24"/>
          <w:szCs w:val="24"/>
          <w:lang w:val="en-GB"/>
        </w:rPr>
      </w:pPr>
    </w:p>
    <w:p w14:paraId="3C7D3BA6" w14:textId="77777777" w:rsidR="009F682D" w:rsidRPr="007B3B90" w:rsidRDefault="009F682D">
      <w:pPr>
        <w:rPr>
          <w:rFonts w:cs="Arial"/>
          <w:u w:val="single"/>
        </w:rPr>
      </w:pPr>
      <w:r w:rsidRPr="007B3B90">
        <w:rPr>
          <w:rFonts w:cs="Arial"/>
          <w:u w:val="single"/>
        </w:rPr>
        <w:br w:type="page"/>
      </w:r>
    </w:p>
    <w:p w14:paraId="3F9BBC4A" w14:textId="700D9A62" w:rsidR="009F682D" w:rsidRPr="008D288A" w:rsidRDefault="007F52CC" w:rsidP="0025192E">
      <w:pPr>
        <w:tabs>
          <w:tab w:val="left" w:pos="3402"/>
          <w:tab w:val="left" w:pos="9639"/>
          <w:tab w:val="left" w:pos="9781"/>
          <w:tab w:val="left" w:pos="10065"/>
        </w:tabs>
        <w:ind w:right="301"/>
        <w:jc w:val="both"/>
        <w:rPr>
          <w:rFonts w:cs="Arial"/>
          <w:b/>
          <w:bCs/>
        </w:rPr>
      </w:pPr>
      <w:r w:rsidRPr="008D288A">
        <w:rPr>
          <w:rFonts w:cs="Arial"/>
          <w:b/>
          <w:bCs/>
        </w:rPr>
        <w:lastRenderedPageBreak/>
        <w:t>SCREENING, ELLIGIBILITY AND UPTAKE</w:t>
      </w:r>
      <w:r w:rsidR="0025192E" w:rsidRPr="008D288A">
        <w:rPr>
          <w:rFonts w:cs="Arial"/>
          <w:b/>
          <w:bCs/>
        </w:rPr>
        <w:t xml:space="preserve">: </w:t>
      </w:r>
    </w:p>
    <w:p w14:paraId="2E70C3AF" w14:textId="77777777" w:rsidR="009F682D" w:rsidRPr="007B3B90" w:rsidRDefault="009F682D" w:rsidP="0025192E">
      <w:pPr>
        <w:tabs>
          <w:tab w:val="left" w:pos="3402"/>
          <w:tab w:val="left" w:pos="9639"/>
          <w:tab w:val="left" w:pos="9781"/>
          <w:tab w:val="left" w:pos="10065"/>
        </w:tabs>
        <w:ind w:right="301"/>
        <w:jc w:val="both"/>
        <w:rPr>
          <w:rFonts w:cs="Arial"/>
          <w:u w:val="single"/>
        </w:rPr>
      </w:pPr>
    </w:p>
    <w:p w14:paraId="1C7C55C2" w14:textId="2C9416E2" w:rsidR="0025192E" w:rsidRPr="00A1349D" w:rsidRDefault="0025192E" w:rsidP="0010521F">
      <w:pPr>
        <w:pStyle w:val="Indent2"/>
        <w:ind w:left="0" w:right="142"/>
        <w:jc w:val="both"/>
        <w:rPr>
          <w:rFonts w:cs="Arial"/>
          <w:sz w:val="24"/>
          <w:szCs w:val="24"/>
          <w:lang w:val="en-GB"/>
        </w:rPr>
      </w:pPr>
      <w:r w:rsidRPr="00A1349D">
        <w:rPr>
          <w:rFonts w:cs="Arial"/>
          <w:sz w:val="24"/>
          <w:szCs w:val="24"/>
          <w:lang w:val="en-GB"/>
        </w:rPr>
        <w:t xml:space="preserve">Patients </w:t>
      </w:r>
      <w:r w:rsidR="005D1ADE" w:rsidRPr="00A1349D">
        <w:rPr>
          <w:rFonts w:cs="Arial"/>
          <w:sz w:val="24"/>
          <w:szCs w:val="24"/>
          <w:lang w:val="en-GB"/>
        </w:rPr>
        <w:t>identified</w:t>
      </w:r>
      <w:r w:rsidR="000D2C46" w:rsidRPr="00A1349D">
        <w:rPr>
          <w:rFonts w:cs="Arial"/>
          <w:sz w:val="24"/>
          <w:szCs w:val="24"/>
          <w:lang w:val="en-GB"/>
        </w:rPr>
        <w:t xml:space="preserve"> in</w:t>
      </w:r>
      <w:r w:rsidR="005D1ADE" w:rsidRPr="00A1349D">
        <w:rPr>
          <w:rFonts w:cs="Arial"/>
          <w:sz w:val="24"/>
          <w:szCs w:val="24"/>
          <w:lang w:val="en-GB"/>
        </w:rPr>
        <w:t xml:space="preserve"> or referred to the vascular unit with a CT- proven </w:t>
      </w:r>
      <w:r w:rsidRPr="00A1349D">
        <w:rPr>
          <w:rFonts w:cs="Arial"/>
          <w:sz w:val="24"/>
          <w:szCs w:val="24"/>
          <w:lang w:val="en-GB"/>
        </w:rPr>
        <w:t xml:space="preserve">aneurysm </w:t>
      </w:r>
      <w:r w:rsidR="005D1ADE" w:rsidRPr="00A1349D">
        <w:rPr>
          <w:rFonts w:cs="Arial"/>
          <w:sz w:val="24"/>
          <w:szCs w:val="24"/>
          <w:lang w:val="en-GB"/>
        </w:rPr>
        <w:t>which has reached threshold for intervention (</w:t>
      </w:r>
      <w:r w:rsidR="0039581A" w:rsidRPr="00A1349D">
        <w:rPr>
          <w:rFonts w:cs="Arial"/>
          <w:sz w:val="24"/>
          <w:szCs w:val="24"/>
          <w:lang w:val="en-GB"/>
        </w:rPr>
        <w:t>i.e.,</w:t>
      </w:r>
      <w:r w:rsidR="00100304" w:rsidRPr="00A1349D">
        <w:rPr>
          <w:rFonts w:cs="Arial"/>
          <w:sz w:val="24"/>
          <w:szCs w:val="24"/>
          <w:lang w:val="en-GB"/>
        </w:rPr>
        <w:t xml:space="preserve"> over 55 mm in males and 50 mm in females</w:t>
      </w:r>
      <w:r w:rsidR="00BA7235" w:rsidRPr="00A1349D">
        <w:rPr>
          <w:rFonts w:cs="Arial"/>
          <w:sz w:val="24"/>
          <w:szCs w:val="24"/>
          <w:lang w:val="en-GB"/>
        </w:rPr>
        <w:t xml:space="preserve"> OR a saccular aneurysm that the MDT deems necessary to repair OR a</w:t>
      </w:r>
      <w:r w:rsidR="00086EBA" w:rsidRPr="00A1349D">
        <w:rPr>
          <w:rFonts w:cs="Arial"/>
          <w:sz w:val="24"/>
          <w:szCs w:val="24"/>
          <w:lang w:val="en-GB"/>
        </w:rPr>
        <w:t xml:space="preserve"> common</w:t>
      </w:r>
      <w:r w:rsidR="00BA7235" w:rsidRPr="00A1349D">
        <w:rPr>
          <w:rFonts w:cs="Arial"/>
          <w:sz w:val="24"/>
          <w:szCs w:val="24"/>
          <w:lang w:val="en-GB"/>
        </w:rPr>
        <w:t xml:space="preserve"> iliac aneurysm that the MDT deems necessary to repair</w:t>
      </w:r>
      <w:r w:rsidR="00100304" w:rsidRPr="00A1349D">
        <w:rPr>
          <w:rFonts w:cs="Arial"/>
          <w:sz w:val="24"/>
          <w:szCs w:val="24"/>
          <w:lang w:val="en-GB"/>
        </w:rPr>
        <w:t>)</w:t>
      </w:r>
      <w:r w:rsidR="005D1ADE" w:rsidRPr="00A1349D">
        <w:rPr>
          <w:rFonts w:cs="Arial"/>
          <w:sz w:val="24"/>
          <w:szCs w:val="24"/>
          <w:lang w:val="en-GB"/>
        </w:rPr>
        <w:t xml:space="preserve"> </w:t>
      </w:r>
      <w:r w:rsidRPr="00A1349D">
        <w:rPr>
          <w:rFonts w:cs="Arial"/>
          <w:sz w:val="24"/>
          <w:szCs w:val="24"/>
          <w:lang w:val="en-GB"/>
        </w:rPr>
        <w:t xml:space="preserve">will be </w:t>
      </w:r>
      <w:r w:rsidR="000D2C46" w:rsidRPr="00A1349D">
        <w:rPr>
          <w:rFonts w:cs="Arial"/>
          <w:sz w:val="24"/>
          <w:szCs w:val="24"/>
          <w:lang w:val="en-GB"/>
        </w:rPr>
        <w:t>screened.</w:t>
      </w:r>
    </w:p>
    <w:p w14:paraId="1104EF67" w14:textId="0560F500" w:rsidR="000D2C46" w:rsidRPr="007B3B90" w:rsidRDefault="000D2C46">
      <w:pPr>
        <w:tabs>
          <w:tab w:val="left" w:pos="3402"/>
          <w:tab w:val="left" w:pos="9639"/>
          <w:tab w:val="left" w:pos="9781"/>
          <w:tab w:val="left" w:pos="10065"/>
        </w:tabs>
        <w:jc w:val="both"/>
        <w:rPr>
          <w:rFonts w:cs="Arial"/>
        </w:rPr>
      </w:pPr>
    </w:p>
    <w:p w14:paraId="680DB7FC" w14:textId="77777777" w:rsidR="000D2C46" w:rsidRPr="00A1349D" w:rsidRDefault="000D2C46" w:rsidP="0010521F">
      <w:pPr>
        <w:pStyle w:val="Indent2"/>
        <w:ind w:left="0" w:right="142"/>
        <w:jc w:val="both"/>
        <w:rPr>
          <w:rFonts w:cs="Arial"/>
          <w:sz w:val="24"/>
          <w:szCs w:val="24"/>
          <w:lang w:val="en-GB"/>
        </w:rPr>
      </w:pPr>
      <w:r w:rsidRPr="00A1349D">
        <w:rPr>
          <w:rFonts w:cs="Arial"/>
          <w:sz w:val="24"/>
          <w:szCs w:val="24"/>
          <w:lang w:val="en-GB"/>
        </w:rPr>
        <w:t>Patients will be assessed as standard of care at the sites from a cardiorespiratory function and social circumstances perspective, according to local standard protocols.</w:t>
      </w:r>
    </w:p>
    <w:p w14:paraId="0975288A" w14:textId="77777777" w:rsidR="009F682D" w:rsidRPr="007B3B90" w:rsidRDefault="009F682D" w:rsidP="00100304">
      <w:pPr>
        <w:tabs>
          <w:tab w:val="left" w:pos="3402"/>
          <w:tab w:val="left" w:pos="9639"/>
          <w:tab w:val="left" w:pos="9781"/>
          <w:tab w:val="left" w:pos="10065"/>
        </w:tabs>
        <w:jc w:val="both"/>
        <w:rPr>
          <w:rFonts w:cs="Arial"/>
        </w:rPr>
      </w:pPr>
    </w:p>
    <w:p w14:paraId="096AE222" w14:textId="0CB5C373" w:rsidR="00442ACE" w:rsidRPr="001A50CF" w:rsidRDefault="0025192E" w:rsidP="0010521F">
      <w:pPr>
        <w:pStyle w:val="Indent2"/>
        <w:ind w:left="0" w:right="142"/>
        <w:jc w:val="both"/>
        <w:rPr>
          <w:rFonts w:cs="Arial"/>
          <w:sz w:val="24"/>
          <w:szCs w:val="24"/>
          <w:lang w:val="en-GB"/>
        </w:rPr>
      </w:pPr>
      <w:r w:rsidRPr="001A50CF">
        <w:rPr>
          <w:rFonts w:cs="Arial"/>
          <w:sz w:val="24"/>
          <w:szCs w:val="24"/>
          <w:lang w:val="en-GB"/>
        </w:rPr>
        <w:t xml:space="preserve">Each patient will be discussed at the multidisciplinary team meeting (MDT) which we suggest should comprise of a Vascular Surgeon, Radiologist, Vascular Nurse Specialist, Anaesthetist and Peri-operative physician. </w:t>
      </w:r>
      <w:r w:rsidR="008B26C6" w:rsidRPr="001A50CF">
        <w:rPr>
          <w:rFonts w:cs="Arial"/>
          <w:sz w:val="24"/>
          <w:szCs w:val="24"/>
          <w:lang w:val="en-GB"/>
        </w:rPr>
        <w:t xml:space="preserve">The number of patients undergoing </w:t>
      </w:r>
      <w:r w:rsidR="005D1ADE" w:rsidRPr="001A50CF">
        <w:rPr>
          <w:rFonts w:cs="Arial"/>
          <w:sz w:val="24"/>
          <w:szCs w:val="24"/>
          <w:lang w:val="en-GB"/>
        </w:rPr>
        <w:t xml:space="preserve">open repair, complex </w:t>
      </w:r>
      <w:r w:rsidR="008B26C6" w:rsidRPr="001A50CF">
        <w:rPr>
          <w:rFonts w:cs="Arial"/>
          <w:sz w:val="24"/>
          <w:szCs w:val="24"/>
          <w:lang w:val="en-GB"/>
        </w:rPr>
        <w:t>EVAR</w:t>
      </w:r>
      <w:r w:rsidR="005D1ADE" w:rsidRPr="001A50CF">
        <w:rPr>
          <w:rFonts w:cs="Arial"/>
          <w:sz w:val="24"/>
          <w:szCs w:val="24"/>
          <w:lang w:val="en-GB"/>
        </w:rPr>
        <w:t xml:space="preserve"> or EVAR </w:t>
      </w:r>
      <w:r w:rsidR="008B26C6" w:rsidRPr="001A50CF">
        <w:rPr>
          <w:rFonts w:cs="Arial"/>
          <w:sz w:val="24"/>
          <w:szCs w:val="24"/>
          <w:lang w:val="en-GB"/>
        </w:rPr>
        <w:t xml:space="preserve">not suitable for STAR </w:t>
      </w:r>
      <w:r w:rsidR="005D1ADE" w:rsidRPr="001A50CF">
        <w:rPr>
          <w:rFonts w:cs="Arial"/>
          <w:sz w:val="24"/>
          <w:szCs w:val="24"/>
          <w:lang w:val="en-GB"/>
        </w:rPr>
        <w:t>will be collected</w:t>
      </w:r>
      <w:r w:rsidR="00127072" w:rsidRPr="001A50CF">
        <w:rPr>
          <w:rFonts w:cs="Arial"/>
          <w:sz w:val="24"/>
          <w:szCs w:val="24"/>
          <w:lang w:val="en-GB"/>
        </w:rPr>
        <w:t xml:space="preserve"> and </w:t>
      </w:r>
      <w:r w:rsidR="008B26C6" w:rsidRPr="001A50CF">
        <w:rPr>
          <w:rFonts w:cs="Arial"/>
          <w:sz w:val="24"/>
          <w:szCs w:val="24"/>
          <w:lang w:val="en-GB"/>
        </w:rPr>
        <w:t>documented in a screening log.</w:t>
      </w:r>
      <w:r w:rsidR="005D1ADE" w:rsidRPr="001A50CF">
        <w:rPr>
          <w:rFonts w:cs="Arial"/>
          <w:sz w:val="24"/>
          <w:szCs w:val="24"/>
          <w:lang w:val="en-GB"/>
        </w:rPr>
        <w:t xml:space="preserve"> </w:t>
      </w:r>
      <w:r w:rsidR="007F52CC" w:rsidRPr="001A50CF">
        <w:rPr>
          <w:rFonts w:cs="Arial"/>
          <w:sz w:val="24"/>
          <w:szCs w:val="24"/>
          <w:lang w:val="en-GB"/>
        </w:rPr>
        <w:t xml:space="preserve">Those treated conservatively and reasons for this will also be documented in </w:t>
      </w:r>
      <w:r w:rsidR="0039581A">
        <w:rPr>
          <w:rFonts w:cs="Arial"/>
          <w:sz w:val="24"/>
          <w:szCs w:val="24"/>
          <w:lang w:val="en-GB"/>
        </w:rPr>
        <w:t>the</w:t>
      </w:r>
      <w:r w:rsidR="007F52CC" w:rsidRPr="001A50CF">
        <w:rPr>
          <w:rFonts w:cs="Arial"/>
          <w:sz w:val="24"/>
          <w:szCs w:val="24"/>
          <w:lang w:val="en-GB"/>
        </w:rPr>
        <w:t xml:space="preserve"> screening log. </w:t>
      </w:r>
    </w:p>
    <w:p w14:paraId="53DCBB94" w14:textId="77777777" w:rsidR="00442ACE" w:rsidRPr="007B3B90" w:rsidRDefault="00442ACE" w:rsidP="00442ACE">
      <w:pPr>
        <w:tabs>
          <w:tab w:val="left" w:pos="3402"/>
          <w:tab w:val="left" w:pos="9639"/>
          <w:tab w:val="left" w:pos="9781"/>
          <w:tab w:val="left" w:pos="10065"/>
        </w:tabs>
        <w:jc w:val="both"/>
        <w:rPr>
          <w:rFonts w:cs="Arial"/>
        </w:rPr>
      </w:pPr>
    </w:p>
    <w:p w14:paraId="0295F5FD" w14:textId="3A817968" w:rsidR="00442ACE" w:rsidRPr="001A50CF" w:rsidRDefault="00442ACE" w:rsidP="00AE15AF">
      <w:pPr>
        <w:pStyle w:val="Indent2"/>
        <w:ind w:left="0" w:right="142"/>
        <w:jc w:val="both"/>
        <w:rPr>
          <w:rFonts w:cs="Arial"/>
          <w:sz w:val="24"/>
          <w:szCs w:val="24"/>
          <w:lang w:val="en-GB"/>
        </w:rPr>
      </w:pPr>
      <w:r w:rsidRPr="001A50CF">
        <w:rPr>
          <w:rFonts w:cs="Arial"/>
          <w:sz w:val="24"/>
          <w:szCs w:val="24"/>
          <w:lang w:val="en-GB"/>
        </w:rPr>
        <w:t>No identifiable data will be passed to the central study team</w:t>
      </w:r>
      <w:r w:rsidR="00376E48" w:rsidRPr="001A50CF">
        <w:rPr>
          <w:rFonts w:cs="Arial"/>
          <w:sz w:val="24"/>
          <w:szCs w:val="24"/>
          <w:lang w:val="en-GB"/>
        </w:rPr>
        <w:t xml:space="preserve"> in the screening log</w:t>
      </w:r>
      <w:r w:rsidR="00D905B5" w:rsidRPr="001A50CF">
        <w:rPr>
          <w:rFonts w:cs="Arial"/>
          <w:sz w:val="24"/>
          <w:szCs w:val="24"/>
          <w:lang w:val="en-GB"/>
        </w:rPr>
        <w:t xml:space="preserve"> (age, sex and aneurysm size and reasons for non-inclusion will be reported)</w:t>
      </w:r>
      <w:r w:rsidRPr="001A50CF">
        <w:rPr>
          <w:rFonts w:cs="Arial"/>
          <w:sz w:val="24"/>
          <w:szCs w:val="24"/>
          <w:lang w:val="en-GB"/>
        </w:rPr>
        <w:t>. All identifiers will be removed from screening logs</w:t>
      </w:r>
      <w:r w:rsidR="004168C6" w:rsidRPr="001A50CF">
        <w:rPr>
          <w:rFonts w:cs="Arial"/>
          <w:sz w:val="24"/>
          <w:szCs w:val="24"/>
          <w:lang w:val="en-GB"/>
        </w:rPr>
        <w:t xml:space="preserve"> when data is submitted for analysis.</w:t>
      </w:r>
    </w:p>
    <w:p w14:paraId="2373A283" w14:textId="77777777" w:rsidR="000D2C46" w:rsidRPr="007B3B90" w:rsidRDefault="000D2C46" w:rsidP="00442ACE">
      <w:pPr>
        <w:tabs>
          <w:tab w:val="left" w:pos="3402"/>
          <w:tab w:val="left" w:pos="9639"/>
          <w:tab w:val="left" w:pos="9781"/>
          <w:tab w:val="left" w:pos="10065"/>
        </w:tabs>
        <w:jc w:val="both"/>
        <w:rPr>
          <w:rFonts w:cs="Arial"/>
        </w:rPr>
      </w:pPr>
    </w:p>
    <w:p w14:paraId="758B25D6" w14:textId="0F43085C" w:rsidR="00BE51AA" w:rsidRDefault="00630A3F" w:rsidP="00BE51AA">
      <w:pPr>
        <w:pStyle w:val="Indent2"/>
        <w:ind w:left="0" w:right="142"/>
        <w:jc w:val="both"/>
        <w:rPr>
          <w:rFonts w:cs="Arial"/>
          <w:sz w:val="24"/>
          <w:szCs w:val="24"/>
          <w:lang w:val="en-GB"/>
        </w:rPr>
      </w:pPr>
      <w:r w:rsidRPr="001A50CF">
        <w:rPr>
          <w:rFonts w:cs="Arial"/>
          <w:sz w:val="24"/>
          <w:szCs w:val="24"/>
          <w:lang w:val="en-GB"/>
        </w:rPr>
        <w:t>Patients</w:t>
      </w:r>
      <w:r w:rsidR="000D2C46" w:rsidRPr="001A50CF">
        <w:rPr>
          <w:rFonts w:cs="Arial"/>
          <w:sz w:val="24"/>
          <w:szCs w:val="24"/>
          <w:lang w:val="en-GB"/>
        </w:rPr>
        <w:t xml:space="preserve"> potentially suitable for STAR, will be contacted by post, telephone or approached at routine clinic visits</w:t>
      </w:r>
      <w:r w:rsidRPr="001A50CF">
        <w:rPr>
          <w:rFonts w:cs="Arial"/>
          <w:sz w:val="24"/>
          <w:szCs w:val="24"/>
          <w:lang w:val="en-GB"/>
        </w:rPr>
        <w:t xml:space="preserve">. They will receive </w:t>
      </w:r>
      <w:r w:rsidR="000D2C46" w:rsidRPr="001A50CF">
        <w:rPr>
          <w:rFonts w:cs="Arial"/>
          <w:sz w:val="24"/>
          <w:szCs w:val="24"/>
          <w:lang w:val="en-GB"/>
        </w:rPr>
        <w:t>patient information packs</w:t>
      </w:r>
      <w:r w:rsidR="00C7546A" w:rsidRPr="001A50CF">
        <w:rPr>
          <w:rFonts w:cs="Arial"/>
          <w:sz w:val="24"/>
          <w:szCs w:val="24"/>
          <w:lang w:val="en-GB"/>
        </w:rPr>
        <w:t>, explaining the STAR pathway</w:t>
      </w:r>
      <w:r w:rsidR="002A2EC1" w:rsidRPr="001A50CF">
        <w:rPr>
          <w:rFonts w:cs="Arial"/>
          <w:sz w:val="24"/>
          <w:szCs w:val="24"/>
          <w:lang w:val="en-GB"/>
        </w:rPr>
        <w:t xml:space="preserve">. </w:t>
      </w:r>
      <w:r w:rsidR="00BE51AA" w:rsidRPr="001A50CF">
        <w:rPr>
          <w:rFonts w:cs="Arial"/>
          <w:sz w:val="24"/>
          <w:szCs w:val="24"/>
          <w:lang w:val="en-GB"/>
        </w:rPr>
        <w:t xml:space="preserve">For the patients, this </w:t>
      </w:r>
      <w:r w:rsidR="0039581A">
        <w:rPr>
          <w:rFonts w:cs="Arial"/>
          <w:sz w:val="24"/>
          <w:szCs w:val="24"/>
          <w:lang w:val="en-GB"/>
        </w:rPr>
        <w:t>will</w:t>
      </w:r>
      <w:r w:rsidR="00BE51AA" w:rsidRPr="001A50CF">
        <w:rPr>
          <w:rFonts w:cs="Arial"/>
          <w:sz w:val="24"/>
          <w:szCs w:val="24"/>
          <w:lang w:val="en-GB"/>
        </w:rPr>
        <w:t>:</w:t>
      </w:r>
    </w:p>
    <w:p w14:paraId="5DFFFD99" w14:textId="77777777" w:rsidR="004E49C0" w:rsidRPr="001A50CF" w:rsidRDefault="004E49C0" w:rsidP="00BE51AA">
      <w:pPr>
        <w:pStyle w:val="Indent2"/>
        <w:ind w:left="0" w:right="142"/>
        <w:jc w:val="both"/>
        <w:rPr>
          <w:rFonts w:cs="Arial"/>
          <w:sz w:val="24"/>
          <w:szCs w:val="24"/>
          <w:lang w:val="en-GB"/>
        </w:rPr>
      </w:pPr>
    </w:p>
    <w:p w14:paraId="7BB0C3E1" w14:textId="24E0A082" w:rsidR="004168C6" w:rsidRPr="001A50CF" w:rsidRDefault="004168C6" w:rsidP="004168C6">
      <w:pPr>
        <w:pStyle w:val="Indent2"/>
        <w:numPr>
          <w:ilvl w:val="0"/>
          <w:numId w:val="25"/>
        </w:numPr>
        <w:ind w:right="142"/>
        <w:jc w:val="both"/>
        <w:rPr>
          <w:rFonts w:cs="Arial"/>
          <w:color w:val="000000" w:themeColor="text1"/>
          <w:sz w:val="24"/>
          <w:szCs w:val="24"/>
          <w:lang w:val="en-GB"/>
        </w:rPr>
      </w:pPr>
      <w:r w:rsidRPr="001A50CF">
        <w:rPr>
          <w:rFonts w:cs="Arial"/>
          <w:color w:val="000000" w:themeColor="text1"/>
          <w:sz w:val="24"/>
          <w:szCs w:val="24"/>
          <w:lang w:val="en-GB"/>
        </w:rPr>
        <w:t>Involve patients in their care by allowing them to share their own experiences with healthcare professionals, carers, and other patients in a similar position</w:t>
      </w:r>
      <w:r w:rsidR="004A4ADA" w:rsidRPr="001A50CF">
        <w:rPr>
          <w:rFonts w:cs="Arial"/>
          <w:color w:val="000000" w:themeColor="text1"/>
          <w:sz w:val="24"/>
          <w:szCs w:val="24"/>
          <w:lang w:val="en-GB"/>
        </w:rPr>
        <w:t xml:space="preserve">, via </w:t>
      </w:r>
      <w:r w:rsidR="007B3B90" w:rsidRPr="001A50CF">
        <w:rPr>
          <w:rFonts w:cs="Arial"/>
          <w:color w:val="000000" w:themeColor="text1"/>
          <w:sz w:val="24"/>
          <w:szCs w:val="24"/>
          <w:lang w:val="en-GB"/>
        </w:rPr>
        <w:t xml:space="preserve">patient </w:t>
      </w:r>
      <w:r w:rsidR="004A4ADA" w:rsidRPr="001A50CF">
        <w:rPr>
          <w:rFonts w:cs="Arial"/>
          <w:color w:val="000000" w:themeColor="text1"/>
          <w:sz w:val="24"/>
          <w:szCs w:val="24"/>
          <w:lang w:val="en-GB"/>
        </w:rPr>
        <w:t>focus</w:t>
      </w:r>
      <w:r w:rsidR="007B3B90" w:rsidRPr="001A50CF">
        <w:rPr>
          <w:rFonts w:cs="Arial"/>
          <w:color w:val="000000" w:themeColor="text1"/>
          <w:sz w:val="24"/>
          <w:szCs w:val="24"/>
          <w:lang w:val="en-GB"/>
        </w:rPr>
        <w:t xml:space="preserve"> groups.</w:t>
      </w:r>
    </w:p>
    <w:p w14:paraId="76376858" w14:textId="60CD419E" w:rsidR="00BE51AA" w:rsidRPr="001A50CF" w:rsidRDefault="007B3B90" w:rsidP="00BE51AA">
      <w:pPr>
        <w:pStyle w:val="Indent2"/>
        <w:numPr>
          <w:ilvl w:val="0"/>
          <w:numId w:val="25"/>
        </w:numPr>
        <w:ind w:right="142"/>
        <w:jc w:val="both"/>
        <w:rPr>
          <w:rFonts w:cs="Arial"/>
          <w:color w:val="000000" w:themeColor="text1"/>
          <w:sz w:val="24"/>
          <w:szCs w:val="24"/>
          <w:lang w:val="en-GB"/>
        </w:rPr>
      </w:pPr>
      <w:r w:rsidRPr="001A50CF">
        <w:rPr>
          <w:rFonts w:cs="Arial"/>
          <w:color w:val="000000" w:themeColor="text1"/>
          <w:sz w:val="24"/>
          <w:szCs w:val="24"/>
          <w:lang w:val="en-GB"/>
        </w:rPr>
        <w:t>Recognize</w:t>
      </w:r>
      <w:r w:rsidR="00BE51AA" w:rsidRPr="001A50CF">
        <w:rPr>
          <w:rFonts w:cs="Arial"/>
          <w:color w:val="000000" w:themeColor="text1"/>
          <w:sz w:val="24"/>
          <w:szCs w:val="24"/>
          <w:lang w:val="en-GB"/>
        </w:rPr>
        <w:t xml:space="preserve"> and counter any fears about complications; provide assurance of </w:t>
      </w:r>
      <w:r w:rsidR="00BE51AA" w:rsidRPr="007B3B90">
        <w:rPr>
          <w:rFonts w:cs="Arial"/>
          <w:color w:val="000000" w:themeColor="text1"/>
          <w:sz w:val="24"/>
          <w:szCs w:val="24"/>
          <w:lang w:val="en-GB"/>
        </w:rPr>
        <w:t>their</w:t>
      </w:r>
      <w:r w:rsidR="00BE51AA" w:rsidRPr="001A50CF">
        <w:rPr>
          <w:rFonts w:cs="Arial"/>
          <w:color w:val="000000" w:themeColor="text1"/>
          <w:sz w:val="24"/>
          <w:szCs w:val="24"/>
          <w:lang w:val="en-GB"/>
        </w:rPr>
        <w:t xml:space="preserve"> safety and what they can expect when recovering at home. </w:t>
      </w:r>
    </w:p>
    <w:p w14:paraId="46AADD7F" w14:textId="77777777" w:rsidR="00BE51AA" w:rsidRPr="001A50CF" w:rsidRDefault="00BE51AA" w:rsidP="00BE51AA">
      <w:pPr>
        <w:pStyle w:val="Indent2"/>
        <w:numPr>
          <w:ilvl w:val="0"/>
          <w:numId w:val="25"/>
        </w:numPr>
        <w:ind w:right="142"/>
        <w:jc w:val="both"/>
        <w:rPr>
          <w:rFonts w:cs="Arial"/>
          <w:color w:val="000000" w:themeColor="text1"/>
          <w:sz w:val="24"/>
          <w:szCs w:val="24"/>
          <w:lang w:val="en-GB"/>
        </w:rPr>
      </w:pPr>
      <w:r w:rsidRPr="001A50CF">
        <w:rPr>
          <w:rFonts w:cs="Arial"/>
          <w:color w:val="000000" w:themeColor="text1"/>
          <w:sz w:val="24"/>
          <w:szCs w:val="24"/>
          <w:lang w:val="en-GB"/>
        </w:rPr>
        <w:t>Include information about the process and their expectations, “what is normal, and what constitutes an emergency”</w:t>
      </w:r>
    </w:p>
    <w:p w14:paraId="24002FC6" w14:textId="093337ED" w:rsidR="00BE51AA" w:rsidRDefault="00BE51AA" w:rsidP="00BE51AA">
      <w:pPr>
        <w:pStyle w:val="Indent2"/>
        <w:numPr>
          <w:ilvl w:val="0"/>
          <w:numId w:val="25"/>
        </w:numPr>
        <w:ind w:right="142"/>
        <w:jc w:val="both"/>
        <w:rPr>
          <w:rFonts w:cs="Arial"/>
          <w:color w:val="000000" w:themeColor="text1"/>
          <w:sz w:val="24"/>
          <w:szCs w:val="24"/>
          <w:lang w:val="en-GB"/>
        </w:rPr>
      </w:pPr>
      <w:r w:rsidRPr="001A50CF">
        <w:rPr>
          <w:rFonts w:cs="Arial"/>
          <w:color w:val="000000" w:themeColor="text1"/>
          <w:sz w:val="24"/>
          <w:szCs w:val="24"/>
          <w:lang w:val="en-GB"/>
        </w:rPr>
        <w:t>Set expectations for support at home (follow-up conversations and emergency helplines).</w:t>
      </w:r>
    </w:p>
    <w:p w14:paraId="0CF5442F" w14:textId="77777777" w:rsidR="004E49C0" w:rsidRPr="001A50CF" w:rsidRDefault="004E49C0" w:rsidP="004E49C0">
      <w:pPr>
        <w:pStyle w:val="Indent2"/>
        <w:ind w:left="1440" w:right="142"/>
        <w:jc w:val="both"/>
        <w:rPr>
          <w:rFonts w:cs="Arial"/>
          <w:color w:val="000000" w:themeColor="text1"/>
          <w:sz w:val="24"/>
          <w:szCs w:val="24"/>
          <w:lang w:val="en-GB"/>
        </w:rPr>
      </w:pPr>
    </w:p>
    <w:p w14:paraId="2C4D1036" w14:textId="4A039A8C" w:rsidR="000D2C46" w:rsidRPr="001A50CF" w:rsidRDefault="002A2EC1" w:rsidP="002A2EC1">
      <w:pPr>
        <w:pStyle w:val="Indent2"/>
        <w:spacing w:after="0"/>
        <w:ind w:left="0" w:right="142"/>
        <w:jc w:val="both"/>
        <w:rPr>
          <w:rFonts w:cs="Arial"/>
          <w:color w:val="000000" w:themeColor="text1"/>
          <w:sz w:val="24"/>
          <w:szCs w:val="24"/>
          <w:lang w:val="en-GB"/>
        </w:rPr>
      </w:pPr>
      <w:r w:rsidRPr="001A50CF">
        <w:rPr>
          <w:rFonts w:cs="Arial"/>
          <w:color w:val="000000" w:themeColor="text1"/>
          <w:sz w:val="24"/>
          <w:szCs w:val="24"/>
          <w:lang w:val="en-GB"/>
        </w:rPr>
        <w:t>This will aid in understanding the process involved in STAR, highligh</w:t>
      </w:r>
      <w:r w:rsidR="004168C6" w:rsidRPr="001A50CF">
        <w:rPr>
          <w:rFonts w:cs="Arial"/>
          <w:color w:val="000000" w:themeColor="text1"/>
          <w:sz w:val="24"/>
          <w:szCs w:val="24"/>
          <w:lang w:val="en-GB"/>
        </w:rPr>
        <w:t>t</w:t>
      </w:r>
      <w:r w:rsidRPr="001A50CF">
        <w:rPr>
          <w:rFonts w:cs="Arial"/>
          <w:color w:val="000000" w:themeColor="text1"/>
          <w:sz w:val="24"/>
          <w:szCs w:val="24"/>
          <w:lang w:val="en-GB"/>
        </w:rPr>
        <w:t xml:space="preserve"> the similarities and differences compared to the traditional EVAR repair pathway</w:t>
      </w:r>
      <w:r w:rsidR="004168C6" w:rsidRPr="001A50CF">
        <w:rPr>
          <w:rFonts w:cs="Arial"/>
          <w:color w:val="000000" w:themeColor="text1"/>
          <w:sz w:val="24"/>
          <w:szCs w:val="24"/>
          <w:lang w:val="en-GB"/>
        </w:rPr>
        <w:t>,</w:t>
      </w:r>
      <w:r w:rsidRPr="001A50CF">
        <w:rPr>
          <w:rFonts w:cs="Arial"/>
          <w:color w:val="000000" w:themeColor="text1"/>
          <w:sz w:val="24"/>
          <w:szCs w:val="24"/>
          <w:lang w:val="en-GB"/>
        </w:rPr>
        <w:t xml:space="preserve"> address frequently asked questions and </w:t>
      </w:r>
      <w:r w:rsidR="004168C6" w:rsidRPr="001A50CF">
        <w:rPr>
          <w:rFonts w:cs="Arial"/>
          <w:color w:val="000000" w:themeColor="text1"/>
          <w:sz w:val="24"/>
          <w:szCs w:val="24"/>
          <w:lang w:val="en-GB"/>
        </w:rPr>
        <w:t xml:space="preserve">reduce </w:t>
      </w:r>
      <w:r w:rsidRPr="001A50CF">
        <w:rPr>
          <w:rFonts w:cs="Arial"/>
          <w:color w:val="000000" w:themeColor="text1"/>
          <w:sz w:val="24"/>
          <w:szCs w:val="24"/>
          <w:lang w:val="en-GB"/>
        </w:rPr>
        <w:t>concerns patients may have prior to their admission.</w:t>
      </w:r>
    </w:p>
    <w:p w14:paraId="19839DF5" w14:textId="77777777" w:rsidR="008B26C6" w:rsidRPr="007B3B90" w:rsidRDefault="008B26C6" w:rsidP="00B93F8F">
      <w:pPr>
        <w:tabs>
          <w:tab w:val="left" w:pos="3402"/>
          <w:tab w:val="left" w:pos="9639"/>
          <w:tab w:val="left" w:pos="9781"/>
          <w:tab w:val="left" w:pos="10065"/>
        </w:tabs>
        <w:jc w:val="both"/>
        <w:rPr>
          <w:rFonts w:cs="Arial"/>
        </w:rPr>
      </w:pPr>
    </w:p>
    <w:p w14:paraId="79B1503F" w14:textId="0D78AB88" w:rsidR="00127072" w:rsidRPr="007B3B90" w:rsidRDefault="0025192E">
      <w:pPr>
        <w:tabs>
          <w:tab w:val="left" w:pos="3402"/>
          <w:tab w:val="left" w:pos="9639"/>
          <w:tab w:val="left" w:pos="9781"/>
          <w:tab w:val="left" w:pos="10065"/>
        </w:tabs>
        <w:jc w:val="both"/>
        <w:rPr>
          <w:rFonts w:cs="Arial"/>
        </w:rPr>
      </w:pPr>
      <w:r w:rsidRPr="007B3B90">
        <w:rPr>
          <w:rFonts w:cs="Arial"/>
        </w:rPr>
        <w:t xml:space="preserve">All elective EVAR patients will be assessed at </w:t>
      </w:r>
      <w:r w:rsidR="000D2C46" w:rsidRPr="007B3B90">
        <w:rPr>
          <w:rFonts w:cs="Arial"/>
        </w:rPr>
        <w:t>routine</w:t>
      </w:r>
      <w:r w:rsidRPr="007B3B90">
        <w:rPr>
          <w:rFonts w:cs="Arial"/>
        </w:rPr>
        <w:t xml:space="preserve"> </w:t>
      </w:r>
      <w:r w:rsidR="000D2C46" w:rsidRPr="007B3B90">
        <w:rPr>
          <w:rFonts w:cs="Arial"/>
        </w:rPr>
        <w:t xml:space="preserve">surgical or </w:t>
      </w:r>
      <w:r w:rsidR="002A2EC1" w:rsidRPr="007B3B90">
        <w:rPr>
          <w:rFonts w:cs="Arial"/>
        </w:rPr>
        <w:t>anaesthetic</w:t>
      </w:r>
      <w:r w:rsidR="000D2C46" w:rsidRPr="007B3B90">
        <w:rPr>
          <w:rFonts w:cs="Arial"/>
        </w:rPr>
        <w:t xml:space="preserve"> </w:t>
      </w:r>
      <w:r w:rsidRPr="007B3B90">
        <w:rPr>
          <w:rFonts w:cs="Arial"/>
        </w:rPr>
        <w:t>pre-assessment clinic</w:t>
      </w:r>
      <w:r w:rsidR="000D2C46" w:rsidRPr="007B3B90">
        <w:rPr>
          <w:rFonts w:cs="Arial"/>
        </w:rPr>
        <w:t>s</w:t>
      </w:r>
      <w:r w:rsidRPr="007B3B90">
        <w:rPr>
          <w:rFonts w:cs="Arial"/>
        </w:rPr>
        <w:t xml:space="preserve">. Patients will be assessed for their eligibility for the 23-hour </w:t>
      </w:r>
      <w:r w:rsidRPr="007B3B90">
        <w:rPr>
          <w:rFonts w:cs="Arial"/>
        </w:rPr>
        <w:lastRenderedPageBreak/>
        <w:t>pathway using a standardized assessment tool based on the inclusion and exclusion criteria given above</w:t>
      </w:r>
      <w:r w:rsidR="00B22C9B" w:rsidRPr="007B3B90">
        <w:rPr>
          <w:rFonts w:cs="Arial"/>
        </w:rPr>
        <w:t xml:space="preserve"> and discussion at the MDT</w:t>
      </w:r>
      <w:r w:rsidRPr="007B3B90">
        <w:rPr>
          <w:rFonts w:cs="Arial"/>
        </w:rPr>
        <w:t xml:space="preserve">. </w:t>
      </w:r>
    </w:p>
    <w:p w14:paraId="69A173FB" w14:textId="77777777" w:rsidR="00127072" w:rsidRPr="007B3B90" w:rsidRDefault="00127072">
      <w:pPr>
        <w:tabs>
          <w:tab w:val="left" w:pos="3402"/>
          <w:tab w:val="left" w:pos="9639"/>
          <w:tab w:val="left" w:pos="9781"/>
          <w:tab w:val="left" w:pos="10065"/>
        </w:tabs>
        <w:jc w:val="both"/>
        <w:rPr>
          <w:rFonts w:cs="Arial"/>
        </w:rPr>
      </w:pPr>
    </w:p>
    <w:p w14:paraId="68F2AAFF" w14:textId="4A10EADB" w:rsidR="0025192E" w:rsidRPr="007B3B90" w:rsidRDefault="0025192E" w:rsidP="00B93F8F">
      <w:pPr>
        <w:tabs>
          <w:tab w:val="left" w:pos="3402"/>
          <w:tab w:val="left" w:pos="9639"/>
          <w:tab w:val="left" w:pos="9781"/>
          <w:tab w:val="left" w:pos="10065"/>
        </w:tabs>
        <w:jc w:val="both"/>
        <w:rPr>
          <w:rFonts w:cs="Arial"/>
        </w:rPr>
      </w:pPr>
      <w:r w:rsidRPr="007B3B90">
        <w:rPr>
          <w:rFonts w:cs="Arial"/>
        </w:rPr>
        <w:t xml:space="preserve">Those eligible for study entry </w:t>
      </w:r>
      <w:r w:rsidR="004168C6" w:rsidRPr="007B3B90">
        <w:rPr>
          <w:rFonts w:cs="Arial"/>
        </w:rPr>
        <w:t xml:space="preserve">who have been </w:t>
      </w:r>
      <w:r w:rsidR="00B22C9B" w:rsidRPr="007B3B90">
        <w:rPr>
          <w:rFonts w:cs="Arial"/>
        </w:rPr>
        <w:t xml:space="preserve">provided </w:t>
      </w:r>
      <w:r w:rsidR="004168C6" w:rsidRPr="007B3B90">
        <w:rPr>
          <w:rFonts w:cs="Arial"/>
        </w:rPr>
        <w:t xml:space="preserve">with </w:t>
      </w:r>
      <w:r w:rsidR="00B22C9B" w:rsidRPr="007B3B90">
        <w:rPr>
          <w:rFonts w:cs="Arial"/>
        </w:rPr>
        <w:t xml:space="preserve">information about the STAR study, </w:t>
      </w:r>
      <w:r w:rsidR="00B56CE1" w:rsidRPr="007B3B90">
        <w:rPr>
          <w:rFonts w:cs="Arial"/>
        </w:rPr>
        <w:t xml:space="preserve">will be </w:t>
      </w:r>
      <w:r w:rsidR="00B22C9B" w:rsidRPr="007B3B90">
        <w:rPr>
          <w:rFonts w:cs="Arial"/>
        </w:rPr>
        <w:t>given an opportunity to discuss this with members of the vascular team</w:t>
      </w:r>
      <w:r w:rsidR="008320E8">
        <w:rPr>
          <w:rFonts w:cs="Arial"/>
        </w:rPr>
        <w:t xml:space="preserve"> and the </w:t>
      </w:r>
      <w:r w:rsidR="00242838">
        <w:rPr>
          <w:rFonts w:cs="Arial"/>
        </w:rPr>
        <w:t>project co-ordinator</w:t>
      </w:r>
      <w:r w:rsidR="004168C6" w:rsidRPr="007B3B90">
        <w:rPr>
          <w:rFonts w:cs="Arial"/>
        </w:rPr>
        <w:t xml:space="preserve">, </w:t>
      </w:r>
      <w:r w:rsidR="00B56CE1" w:rsidRPr="007B3B90">
        <w:rPr>
          <w:rFonts w:cs="Arial"/>
        </w:rPr>
        <w:t>and</w:t>
      </w:r>
      <w:r w:rsidR="004168C6" w:rsidRPr="007B3B90">
        <w:rPr>
          <w:rFonts w:cs="Arial"/>
        </w:rPr>
        <w:t xml:space="preserve"> </w:t>
      </w:r>
      <w:r w:rsidR="00242838">
        <w:rPr>
          <w:rFonts w:cs="Arial"/>
        </w:rPr>
        <w:t xml:space="preserve">will be </w:t>
      </w:r>
      <w:r w:rsidRPr="007B3B90">
        <w:rPr>
          <w:rFonts w:cs="Arial"/>
        </w:rPr>
        <w:t xml:space="preserve">asked whether they will take part and sign a consent form. </w:t>
      </w:r>
      <w:r w:rsidR="008B26C6" w:rsidRPr="007B3B90">
        <w:rPr>
          <w:rFonts w:cs="Arial"/>
        </w:rPr>
        <w:t>The number of patients undergoing EVAR suitable for the STAR pathway but refusing to take part in the study and the reasons (</w:t>
      </w:r>
      <w:proofErr w:type="spellStart"/>
      <w:r w:rsidR="008B26C6" w:rsidRPr="007B3B90">
        <w:rPr>
          <w:rFonts w:cs="Arial"/>
        </w:rPr>
        <w:t>eg</w:t>
      </w:r>
      <w:proofErr w:type="spellEnd"/>
      <w:r w:rsidR="008B26C6" w:rsidRPr="007B3B90">
        <w:rPr>
          <w:rFonts w:cs="Arial"/>
        </w:rPr>
        <w:t xml:space="preserve"> patient choice, fears over 23 hour EVAR etc) will be documented</w:t>
      </w:r>
      <w:r w:rsidR="004168C6" w:rsidRPr="007B3B90">
        <w:rPr>
          <w:rFonts w:cs="Arial"/>
        </w:rPr>
        <w:t xml:space="preserve"> in the screening log</w:t>
      </w:r>
      <w:r w:rsidR="008B26C6" w:rsidRPr="007B3B90">
        <w:rPr>
          <w:rFonts w:cs="Arial"/>
        </w:rPr>
        <w:t xml:space="preserve">. </w:t>
      </w:r>
      <w:r w:rsidRPr="007B3B90">
        <w:rPr>
          <w:rFonts w:cs="Arial"/>
        </w:rPr>
        <w:t xml:space="preserve">The uptake rate will therefore be assessed. </w:t>
      </w:r>
    </w:p>
    <w:p w14:paraId="7CCE9160" w14:textId="77777777" w:rsidR="008B26C6" w:rsidRPr="007B3B90" w:rsidRDefault="008B26C6" w:rsidP="00B93F8F">
      <w:pPr>
        <w:tabs>
          <w:tab w:val="left" w:pos="3402"/>
          <w:tab w:val="left" w:pos="9639"/>
          <w:tab w:val="left" w:pos="9781"/>
          <w:tab w:val="left" w:pos="10065"/>
        </w:tabs>
        <w:jc w:val="both"/>
        <w:rPr>
          <w:rFonts w:cs="Arial"/>
        </w:rPr>
      </w:pPr>
    </w:p>
    <w:p w14:paraId="1E3D7F37" w14:textId="39BD53AB" w:rsidR="008B26C6" w:rsidRPr="007B3B90" w:rsidRDefault="006514D3" w:rsidP="00B93F8F">
      <w:pPr>
        <w:tabs>
          <w:tab w:val="left" w:pos="3402"/>
          <w:tab w:val="left" w:pos="9639"/>
          <w:tab w:val="left" w:pos="9781"/>
          <w:tab w:val="left" w:pos="10065"/>
        </w:tabs>
        <w:jc w:val="both"/>
        <w:rPr>
          <w:rFonts w:cs="Arial"/>
        </w:rPr>
      </w:pPr>
      <w:r w:rsidRPr="008D288A">
        <w:rPr>
          <w:rFonts w:cs="Arial"/>
          <w:b/>
          <w:bCs/>
        </w:rPr>
        <w:t>INTERVENTION</w:t>
      </w:r>
      <w:r w:rsidR="008B26C6" w:rsidRPr="007B3B90">
        <w:rPr>
          <w:rFonts w:cs="Arial"/>
        </w:rPr>
        <w:t>:</w:t>
      </w:r>
    </w:p>
    <w:p w14:paraId="7537EAE7" w14:textId="77777777" w:rsidR="008B26C6" w:rsidRPr="007B3B90" w:rsidRDefault="008B26C6" w:rsidP="00B93F8F">
      <w:pPr>
        <w:tabs>
          <w:tab w:val="left" w:pos="3402"/>
          <w:tab w:val="left" w:pos="9639"/>
          <w:tab w:val="left" w:pos="9781"/>
          <w:tab w:val="left" w:pos="10065"/>
        </w:tabs>
        <w:jc w:val="both"/>
        <w:rPr>
          <w:rFonts w:cs="Arial"/>
        </w:rPr>
      </w:pPr>
    </w:p>
    <w:p w14:paraId="612AA01F" w14:textId="10AD780D" w:rsidR="00BE51AA" w:rsidRPr="000A1748" w:rsidRDefault="0025192E" w:rsidP="00D63EFD">
      <w:pPr>
        <w:pStyle w:val="Indent2"/>
        <w:ind w:left="0" w:right="142"/>
        <w:jc w:val="both"/>
        <w:rPr>
          <w:rFonts w:cs="Arial"/>
          <w:b/>
          <w:bCs/>
          <w:color w:val="000000" w:themeColor="text1"/>
          <w:sz w:val="24"/>
          <w:szCs w:val="24"/>
          <w:lang w:val="en-GB"/>
        </w:rPr>
      </w:pPr>
      <w:r w:rsidRPr="000A1748">
        <w:rPr>
          <w:rFonts w:cs="Arial"/>
          <w:sz w:val="24"/>
          <w:szCs w:val="24"/>
          <w:lang w:val="en-GB"/>
        </w:rPr>
        <w:t>GPs</w:t>
      </w:r>
      <w:r w:rsidR="00BE51AA" w:rsidRPr="000A1748">
        <w:rPr>
          <w:rFonts w:cs="Arial"/>
          <w:sz w:val="24"/>
          <w:szCs w:val="24"/>
          <w:lang w:val="en-GB"/>
        </w:rPr>
        <w:t xml:space="preserve"> </w:t>
      </w:r>
      <w:r w:rsidRPr="000A1748">
        <w:rPr>
          <w:rFonts w:cs="Arial"/>
          <w:sz w:val="24"/>
          <w:szCs w:val="24"/>
          <w:lang w:val="en-GB"/>
        </w:rPr>
        <w:t xml:space="preserve">will be informed of the study and sent site specific information after each patient is recruited. </w:t>
      </w:r>
    </w:p>
    <w:p w14:paraId="443AAC92" w14:textId="77777777" w:rsidR="000A1748" w:rsidRPr="001A50CF" w:rsidRDefault="000A1748" w:rsidP="000A1748">
      <w:pPr>
        <w:pStyle w:val="Indent2"/>
        <w:ind w:left="1440" w:right="142"/>
        <w:jc w:val="both"/>
        <w:rPr>
          <w:rFonts w:cs="Arial"/>
          <w:b/>
          <w:bCs/>
          <w:color w:val="000000" w:themeColor="text1"/>
          <w:lang w:val="en-GB"/>
        </w:rPr>
      </w:pPr>
    </w:p>
    <w:p w14:paraId="2E1A71DF" w14:textId="6211EED6" w:rsidR="002A2EC1" w:rsidRPr="001A50CF" w:rsidRDefault="002A2EC1" w:rsidP="00BE51AA">
      <w:pPr>
        <w:pStyle w:val="Indent2"/>
        <w:spacing w:after="0"/>
        <w:ind w:left="0" w:right="142"/>
        <w:jc w:val="both"/>
        <w:rPr>
          <w:rFonts w:cs="Arial"/>
          <w:color w:val="000000" w:themeColor="text1"/>
          <w:sz w:val="24"/>
          <w:szCs w:val="24"/>
          <w:lang w:val="en-GB"/>
        </w:rPr>
      </w:pPr>
      <w:r w:rsidRPr="001A50CF">
        <w:rPr>
          <w:rFonts w:cs="Arial"/>
          <w:color w:val="000000" w:themeColor="text1"/>
          <w:sz w:val="24"/>
          <w:szCs w:val="24"/>
          <w:lang w:val="en-GB"/>
        </w:rPr>
        <w:t xml:space="preserve">This will aid in understanding the process involved in STAR, highlighting the similarities and differences compared to the traditional EVAR repair pathway. </w:t>
      </w:r>
      <w:r w:rsidR="004539C1">
        <w:rPr>
          <w:rFonts w:cs="Arial"/>
          <w:color w:val="000000" w:themeColor="text1"/>
          <w:sz w:val="24"/>
          <w:szCs w:val="24"/>
          <w:lang w:val="en-GB"/>
        </w:rPr>
        <w:t>We</w:t>
      </w:r>
      <w:r w:rsidRPr="001A50CF">
        <w:rPr>
          <w:rFonts w:cs="Arial"/>
          <w:color w:val="000000" w:themeColor="text1"/>
          <w:sz w:val="24"/>
          <w:szCs w:val="24"/>
          <w:lang w:val="en-GB"/>
        </w:rPr>
        <w:t xml:space="preserve"> will aim to address frequently asked questions and concerns patients and their GPs may have</w:t>
      </w:r>
      <w:r w:rsidR="004539C1">
        <w:rPr>
          <w:rFonts w:cs="Arial"/>
          <w:color w:val="000000" w:themeColor="text1"/>
          <w:sz w:val="24"/>
          <w:szCs w:val="24"/>
          <w:lang w:val="en-GB"/>
        </w:rPr>
        <w:t>, as they arise</w:t>
      </w:r>
      <w:r w:rsidRPr="001A50CF">
        <w:rPr>
          <w:rFonts w:cs="Arial"/>
          <w:color w:val="000000" w:themeColor="text1"/>
          <w:sz w:val="24"/>
          <w:szCs w:val="24"/>
          <w:lang w:val="en-GB"/>
        </w:rPr>
        <w:t>.</w:t>
      </w:r>
    </w:p>
    <w:p w14:paraId="5E865DE9" w14:textId="77777777" w:rsidR="002A2EC1" w:rsidRPr="007B3B90" w:rsidRDefault="002A2EC1" w:rsidP="00B93F8F">
      <w:pPr>
        <w:tabs>
          <w:tab w:val="left" w:pos="3402"/>
          <w:tab w:val="left" w:pos="9639"/>
          <w:tab w:val="left" w:pos="9781"/>
          <w:tab w:val="left" w:pos="10065"/>
        </w:tabs>
        <w:jc w:val="both"/>
        <w:rPr>
          <w:rFonts w:cs="Arial"/>
        </w:rPr>
      </w:pPr>
    </w:p>
    <w:p w14:paraId="328E0951" w14:textId="04AD3BBF" w:rsidR="0025192E" w:rsidRPr="007B3B90" w:rsidRDefault="0025192E" w:rsidP="00B93F8F">
      <w:pPr>
        <w:tabs>
          <w:tab w:val="left" w:pos="3402"/>
          <w:tab w:val="left" w:pos="9639"/>
          <w:tab w:val="left" w:pos="9781"/>
          <w:tab w:val="left" w:pos="10065"/>
        </w:tabs>
        <w:jc w:val="both"/>
        <w:rPr>
          <w:rFonts w:cs="Arial"/>
        </w:rPr>
      </w:pPr>
      <w:r w:rsidRPr="007B3B90">
        <w:rPr>
          <w:rFonts w:cs="Arial"/>
        </w:rPr>
        <w:t xml:space="preserve">Pre-operative COVID-19 preparations for surgery will be adhered to according to local protocol. </w:t>
      </w:r>
      <w:r w:rsidR="008B26C6" w:rsidRPr="007B3B90">
        <w:rPr>
          <w:rFonts w:cs="Arial"/>
        </w:rPr>
        <w:t>An</w:t>
      </w:r>
      <w:r w:rsidRPr="007B3B90">
        <w:rPr>
          <w:rFonts w:cs="Arial"/>
        </w:rPr>
        <w:t xml:space="preserve"> opportunity for pre-</w:t>
      </w:r>
      <w:proofErr w:type="spellStart"/>
      <w:r w:rsidRPr="007B3B90">
        <w:rPr>
          <w:rFonts w:cs="Arial"/>
        </w:rPr>
        <w:t>habilitation</w:t>
      </w:r>
      <w:proofErr w:type="spellEnd"/>
      <w:r w:rsidR="008B26C6" w:rsidRPr="007B3B90">
        <w:rPr>
          <w:rFonts w:cs="Arial"/>
        </w:rPr>
        <w:t xml:space="preserve"> whilst waiting for surgery will be utilised</w:t>
      </w:r>
      <w:r w:rsidRPr="007B3B90">
        <w:rPr>
          <w:rFonts w:cs="Arial"/>
        </w:rPr>
        <w:t xml:space="preserve">. Detailed </w:t>
      </w:r>
      <w:r w:rsidR="0051029A" w:rsidRPr="007B3B90">
        <w:rPr>
          <w:rFonts w:cs="Arial"/>
        </w:rPr>
        <w:t xml:space="preserve">advice </w:t>
      </w:r>
      <w:r w:rsidRPr="007B3B90">
        <w:rPr>
          <w:rFonts w:cs="Arial"/>
        </w:rPr>
        <w:t xml:space="preserve">including exercise, psychological preparation and breathing exercises with virtual support from nursing teams will be </w:t>
      </w:r>
      <w:r w:rsidR="0051029A" w:rsidRPr="007B3B90">
        <w:rPr>
          <w:rFonts w:cs="Arial"/>
        </w:rPr>
        <w:t>available</w:t>
      </w:r>
      <w:r w:rsidRPr="007B3B90">
        <w:rPr>
          <w:rFonts w:cs="Arial"/>
        </w:rPr>
        <w:t>.</w:t>
      </w:r>
    </w:p>
    <w:p w14:paraId="495BA6B4" w14:textId="77777777" w:rsidR="004E71D5" w:rsidRPr="007B3B90" w:rsidRDefault="004E71D5" w:rsidP="004E71D5">
      <w:pPr>
        <w:tabs>
          <w:tab w:val="left" w:pos="9639"/>
          <w:tab w:val="left" w:pos="9781"/>
          <w:tab w:val="left" w:pos="10065"/>
        </w:tabs>
        <w:jc w:val="both"/>
        <w:rPr>
          <w:rFonts w:cs="Arial"/>
        </w:rPr>
      </w:pPr>
    </w:p>
    <w:p w14:paraId="5C1713F7" w14:textId="56186F6F" w:rsidR="004E71D5" w:rsidRPr="007B3B90" w:rsidRDefault="0051029A" w:rsidP="004E71D5">
      <w:pPr>
        <w:tabs>
          <w:tab w:val="left" w:pos="9639"/>
          <w:tab w:val="left" w:pos="9781"/>
          <w:tab w:val="left" w:pos="10065"/>
        </w:tabs>
        <w:jc w:val="both"/>
        <w:rPr>
          <w:rFonts w:cs="Arial"/>
        </w:rPr>
      </w:pPr>
      <w:r w:rsidRPr="007B3B90">
        <w:rPr>
          <w:rFonts w:cs="Arial"/>
        </w:rPr>
        <w:t xml:space="preserve">The </w:t>
      </w:r>
      <w:r w:rsidR="004E71D5" w:rsidRPr="007B3B90">
        <w:rPr>
          <w:rFonts w:cs="Arial"/>
        </w:rPr>
        <w:t xml:space="preserve">detailed </w:t>
      </w:r>
      <w:r w:rsidR="00B84FF1" w:rsidRPr="007B3B90">
        <w:rPr>
          <w:rFonts w:cs="Arial"/>
        </w:rPr>
        <w:t>pathway protocol for care</w:t>
      </w:r>
      <w:r w:rsidRPr="007B3B90">
        <w:rPr>
          <w:rFonts w:cs="Arial"/>
        </w:rPr>
        <w:t>,</w:t>
      </w:r>
      <w:r w:rsidR="004E71D5" w:rsidRPr="007B3B90">
        <w:rPr>
          <w:rFonts w:cs="Arial"/>
        </w:rPr>
        <w:t xml:space="preserve"> developed </w:t>
      </w:r>
      <w:r w:rsidRPr="007B3B90">
        <w:rPr>
          <w:rFonts w:cs="Arial"/>
        </w:rPr>
        <w:t xml:space="preserve">by </w:t>
      </w:r>
      <w:r w:rsidR="004E71D5" w:rsidRPr="007B3B90">
        <w:rPr>
          <w:rFonts w:cs="Arial"/>
        </w:rPr>
        <w:t>the multidisciplinary team</w:t>
      </w:r>
      <w:r w:rsidRPr="007B3B90">
        <w:rPr>
          <w:rFonts w:cs="Arial"/>
        </w:rPr>
        <w:t>,</w:t>
      </w:r>
      <w:r w:rsidR="004E71D5" w:rsidRPr="007B3B90">
        <w:rPr>
          <w:rFonts w:cs="Arial"/>
        </w:rPr>
        <w:t xml:space="preserve"> </w:t>
      </w:r>
      <w:r w:rsidRPr="007B3B90">
        <w:rPr>
          <w:rFonts w:cs="Arial"/>
        </w:rPr>
        <w:t xml:space="preserve">will be </w:t>
      </w:r>
      <w:r w:rsidR="004E71D5" w:rsidRPr="007B3B90">
        <w:rPr>
          <w:rFonts w:cs="Arial"/>
        </w:rPr>
        <w:t>agreed by all sites</w:t>
      </w:r>
      <w:r w:rsidR="001D6736" w:rsidRPr="007B3B90">
        <w:rPr>
          <w:rFonts w:cs="Arial"/>
        </w:rPr>
        <w:t xml:space="preserve"> in the </w:t>
      </w:r>
      <w:r w:rsidR="0039581A" w:rsidRPr="007B3B90">
        <w:rPr>
          <w:rFonts w:cs="Arial"/>
        </w:rPr>
        <w:t>set-up</w:t>
      </w:r>
      <w:r w:rsidR="001D6736" w:rsidRPr="007B3B90">
        <w:rPr>
          <w:rFonts w:cs="Arial"/>
        </w:rPr>
        <w:t xml:space="preserve"> phase of the study</w:t>
      </w:r>
      <w:r w:rsidR="004E71D5" w:rsidRPr="007B3B90">
        <w:rPr>
          <w:rFonts w:cs="Arial"/>
        </w:rPr>
        <w:t xml:space="preserve">, </w:t>
      </w:r>
      <w:r w:rsidRPr="007B3B90">
        <w:rPr>
          <w:rFonts w:cs="Arial"/>
        </w:rPr>
        <w:t xml:space="preserve">and include relevant </w:t>
      </w:r>
      <w:r w:rsidR="004E71D5" w:rsidRPr="007B3B90">
        <w:rPr>
          <w:rFonts w:cs="Arial"/>
        </w:rPr>
        <w:t xml:space="preserve">site specific modifications. </w:t>
      </w:r>
    </w:p>
    <w:p w14:paraId="5AEC3385" w14:textId="77777777" w:rsidR="004E71D5" w:rsidRPr="007B3B90" w:rsidRDefault="004E71D5" w:rsidP="00B838D4">
      <w:pPr>
        <w:tabs>
          <w:tab w:val="left" w:pos="9639"/>
          <w:tab w:val="left" w:pos="9781"/>
          <w:tab w:val="left" w:pos="10065"/>
        </w:tabs>
        <w:jc w:val="both"/>
        <w:rPr>
          <w:rFonts w:cs="Arial"/>
        </w:rPr>
      </w:pPr>
    </w:p>
    <w:p w14:paraId="388D103E" w14:textId="49227221" w:rsidR="00B838D4" w:rsidRPr="007B3B90" w:rsidRDefault="0025192E" w:rsidP="00B93F8F">
      <w:pPr>
        <w:tabs>
          <w:tab w:val="left" w:pos="9639"/>
          <w:tab w:val="left" w:pos="9781"/>
          <w:tab w:val="left" w:pos="10065"/>
        </w:tabs>
        <w:jc w:val="both"/>
        <w:rPr>
          <w:rFonts w:cs="Arial"/>
        </w:rPr>
      </w:pPr>
      <w:r w:rsidRPr="007B3B90">
        <w:rPr>
          <w:rFonts w:cs="Arial"/>
        </w:rPr>
        <w:t>On the day of the planned EVAR, each site may differ in arrangements, but a suggested pathway is that patients will arrive at hospital</w:t>
      </w:r>
      <w:r w:rsidR="0051029A" w:rsidRPr="007B3B90">
        <w:rPr>
          <w:rFonts w:cs="Arial"/>
        </w:rPr>
        <w:t xml:space="preserve"> (time zero)</w:t>
      </w:r>
      <w:r w:rsidRPr="007B3B90">
        <w:rPr>
          <w:rFonts w:cs="Arial"/>
        </w:rPr>
        <w:t xml:space="preserve"> </w:t>
      </w:r>
      <w:r w:rsidR="00003622" w:rsidRPr="007B3B90">
        <w:rPr>
          <w:rFonts w:cs="Arial"/>
        </w:rPr>
        <w:t xml:space="preserve">2 hours before their procedure </w:t>
      </w:r>
      <w:r w:rsidRPr="007B3B90">
        <w:rPr>
          <w:rFonts w:cs="Arial"/>
        </w:rPr>
        <w:t xml:space="preserve">(Day </w:t>
      </w:r>
      <w:r w:rsidR="0039581A">
        <w:rPr>
          <w:rFonts w:cs="Arial"/>
        </w:rPr>
        <w:t>0</w:t>
      </w:r>
      <w:r w:rsidRPr="007B3B90">
        <w:rPr>
          <w:rFonts w:cs="Arial"/>
        </w:rPr>
        <w:t xml:space="preserve">). </w:t>
      </w:r>
      <w:r w:rsidR="00003622" w:rsidRPr="007B3B90">
        <w:rPr>
          <w:rFonts w:cs="Arial"/>
        </w:rPr>
        <w:t>T</w:t>
      </w:r>
      <w:r w:rsidRPr="007B3B90">
        <w:rPr>
          <w:rFonts w:cs="Arial"/>
        </w:rPr>
        <w:t xml:space="preserve">he patient will undergo a standard EVAR procedure either under general, regional or local anaesthesia </w:t>
      </w:r>
      <w:r w:rsidR="00B838D4" w:rsidRPr="007B3B90">
        <w:rPr>
          <w:rFonts w:cs="Arial"/>
        </w:rPr>
        <w:t>with</w:t>
      </w:r>
      <w:r w:rsidRPr="007B3B90">
        <w:rPr>
          <w:rFonts w:cs="Arial"/>
        </w:rPr>
        <w:t xml:space="preserve"> percutaneous</w:t>
      </w:r>
      <w:r w:rsidR="00B838D4" w:rsidRPr="007B3B90">
        <w:rPr>
          <w:rFonts w:cs="Arial"/>
        </w:rPr>
        <w:t xml:space="preserve"> or open cut down access</w:t>
      </w:r>
      <w:r w:rsidRPr="007B3B90">
        <w:rPr>
          <w:rFonts w:cs="Arial"/>
        </w:rPr>
        <w:t>.</w:t>
      </w:r>
      <w:r w:rsidR="00B838D4" w:rsidRPr="007B3B90">
        <w:rPr>
          <w:rFonts w:cs="Arial"/>
        </w:rPr>
        <w:t xml:space="preserve"> </w:t>
      </w:r>
    </w:p>
    <w:p w14:paraId="36490E62" w14:textId="77777777" w:rsidR="00B838D4" w:rsidRPr="007B3B90" w:rsidRDefault="00B838D4" w:rsidP="00100304">
      <w:pPr>
        <w:tabs>
          <w:tab w:val="left" w:pos="3402"/>
          <w:tab w:val="left" w:pos="9639"/>
          <w:tab w:val="left" w:pos="9781"/>
          <w:tab w:val="left" w:pos="10065"/>
        </w:tabs>
        <w:jc w:val="both"/>
        <w:rPr>
          <w:rFonts w:cs="Arial"/>
        </w:rPr>
      </w:pPr>
    </w:p>
    <w:p w14:paraId="6C0B9195" w14:textId="64D81EE3" w:rsidR="0025192E" w:rsidRPr="007B3B90" w:rsidRDefault="0025192E" w:rsidP="00100304">
      <w:pPr>
        <w:tabs>
          <w:tab w:val="left" w:pos="3402"/>
          <w:tab w:val="left" w:pos="9639"/>
          <w:tab w:val="left" w:pos="9781"/>
          <w:tab w:val="left" w:pos="10065"/>
        </w:tabs>
        <w:jc w:val="both"/>
        <w:rPr>
          <w:rFonts w:cs="Arial"/>
        </w:rPr>
      </w:pPr>
      <w:r w:rsidRPr="007B3B90">
        <w:rPr>
          <w:rFonts w:cs="Arial"/>
        </w:rPr>
        <w:t xml:space="preserve">Following the procedure on day </w:t>
      </w:r>
      <w:r w:rsidR="00D03ACF">
        <w:rPr>
          <w:rFonts w:cs="Arial"/>
        </w:rPr>
        <w:t>0</w:t>
      </w:r>
      <w:r w:rsidRPr="007B3B90">
        <w:rPr>
          <w:rFonts w:cs="Arial"/>
        </w:rPr>
        <w:t xml:space="preserve"> the patient will be nursed in recovery before returning to the ward. Existing standard of care practice for monitoring of EVAR patients will be continued at each site. </w:t>
      </w:r>
    </w:p>
    <w:p w14:paraId="12DCF233" w14:textId="77777777" w:rsidR="0025192E" w:rsidRPr="007B3B90" w:rsidRDefault="0025192E" w:rsidP="00B93F8F">
      <w:pPr>
        <w:tabs>
          <w:tab w:val="left" w:pos="3402"/>
          <w:tab w:val="left" w:pos="9639"/>
          <w:tab w:val="left" w:pos="9781"/>
          <w:tab w:val="left" w:pos="10065"/>
        </w:tabs>
        <w:jc w:val="both"/>
        <w:rPr>
          <w:rFonts w:cs="Arial"/>
        </w:rPr>
      </w:pPr>
    </w:p>
    <w:p w14:paraId="414445C0" w14:textId="5437B4B8" w:rsidR="0025192E" w:rsidRPr="007B3B90" w:rsidRDefault="0025192E" w:rsidP="00B93F8F">
      <w:pPr>
        <w:tabs>
          <w:tab w:val="left" w:pos="9639"/>
          <w:tab w:val="left" w:pos="9781"/>
          <w:tab w:val="left" w:pos="10065"/>
        </w:tabs>
        <w:jc w:val="both"/>
        <w:rPr>
          <w:rFonts w:cs="Arial"/>
        </w:rPr>
      </w:pPr>
      <w:r w:rsidRPr="007B3B90">
        <w:rPr>
          <w:rFonts w:cs="Arial"/>
        </w:rPr>
        <w:t xml:space="preserve">A protocol-driven pathway for post-operative care will be used to encourage early rehabilitation – early mobilization on the evening of the operative day; early removal of intravenous/arterial lines and catheter if placed; eating and drinking in evening of day </w:t>
      </w:r>
      <w:r w:rsidR="00D03ACF">
        <w:rPr>
          <w:rFonts w:cs="Arial"/>
        </w:rPr>
        <w:t>0</w:t>
      </w:r>
      <w:r w:rsidRPr="007B3B90">
        <w:rPr>
          <w:rFonts w:cs="Arial"/>
        </w:rPr>
        <w:t xml:space="preserve">; discharge summaries and medication routinely available </w:t>
      </w:r>
      <w:r w:rsidR="00D03ACF">
        <w:rPr>
          <w:rFonts w:cs="Arial"/>
        </w:rPr>
        <w:t xml:space="preserve">(with pre-packs from pharmacy) </w:t>
      </w:r>
      <w:r w:rsidRPr="007B3B90">
        <w:rPr>
          <w:rFonts w:cs="Arial"/>
        </w:rPr>
        <w:t xml:space="preserve">from early morning day </w:t>
      </w:r>
      <w:r w:rsidR="00D03ACF">
        <w:rPr>
          <w:rFonts w:cs="Arial"/>
        </w:rPr>
        <w:t>1</w:t>
      </w:r>
      <w:r w:rsidRPr="007B3B90">
        <w:rPr>
          <w:rFonts w:cs="Arial"/>
        </w:rPr>
        <w:t xml:space="preserve">; and adequate analgesia. </w:t>
      </w:r>
    </w:p>
    <w:p w14:paraId="0F3F6257" w14:textId="77777777" w:rsidR="008B26C6" w:rsidRPr="007B3B90" w:rsidRDefault="008B26C6" w:rsidP="00B93F8F">
      <w:pPr>
        <w:tabs>
          <w:tab w:val="left" w:pos="9639"/>
          <w:tab w:val="left" w:pos="9781"/>
          <w:tab w:val="left" w:pos="10065"/>
        </w:tabs>
        <w:jc w:val="both"/>
        <w:rPr>
          <w:rFonts w:cs="Arial"/>
        </w:rPr>
      </w:pPr>
    </w:p>
    <w:p w14:paraId="7334AB91" w14:textId="1274DCD2" w:rsidR="0025192E" w:rsidRPr="007B3B90" w:rsidRDefault="0025192E" w:rsidP="00B93F8F">
      <w:pPr>
        <w:tabs>
          <w:tab w:val="left" w:pos="9639"/>
          <w:tab w:val="left" w:pos="9781"/>
          <w:tab w:val="left" w:pos="10065"/>
        </w:tabs>
        <w:jc w:val="both"/>
        <w:rPr>
          <w:rFonts w:cs="Arial"/>
        </w:rPr>
      </w:pPr>
      <w:r w:rsidRPr="007B3B90">
        <w:rPr>
          <w:rFonts w:cs="Arial"/>
        </w:rPr>
        <w:lastRenderedPageBreak/>
        <w:t xml:space="preserve">The following morning (day </w:t>
      </w:r>
      <w:r w:rsidR="00D03ACF">
        <w:rPr>
          <w:rFonts w:cs="Arial"/>
        </w:rPr>
        <w:t>1</w:t>
      </w:r>
      <w:r w:rsidRPr="007B3B90">
        <w:rPr>
          <w:rFonts w:cs="Arial"/>
        </w:rPr>
        <w:t xml:space="preserve">), assuming there are no complications from surgery, the patient will be deemed medically fit for discharge. Standard patient specific post-operative investigations will be undertaken. The Vascular Nurse specialist </w:t>
      </w:r>
      <w:r w:rsidR="00D03ACF">
        <w:rPr>
          <w:rFonts w:cs="Arial"/>
        </w:rPr>
        <w:t xml:space="preserve">or member of the clinical team </w:t>
      </w:r>
      <w:r w:rsidRPr="007B3B90">
        <w:rPr>
          <w:rFonts w:cs="Arial"/>
        </w:rPr>
        <w:t xml:space="preserve">who is to follow-up the patient will ensure discharge plans are in place utilizing specifically agreed protocols. Discharging the patient </w:t>
      </w:r>
      <w:r w:rsidR="004E71D5" w:rsidRPr="007B3B90">
        <w:rPr>
          <w:rFonts w:cs="Arial"/>
        </w:rPr>
        <w:t>before 24 hours</w:t>
      </w:r>
      <w:r w:rsidRPr="007B3B90">
        <w:rPr>
          <w:rFonts w:cs="Arial"/>
        </w:rPr>
        <w:t xml:space="preserve"> will allow further short stay patients to be admitted into the same bed (perhaps allowing establishment of an EVAR bed and for patients to be treated in a short stay unit) to further improve efficiency of the pathway.</w:t>
      </w:r>
    </w:p>
    <w:p w14:paraId="20DA40C8" w14:textId="77777777" w:rsidR="0025192E" w:rsidRPr="001A50CF" w:rsidRDefault="0025192E" w:rsidP="0095568B">
      <w:pPr>
        <w:pStyle w:val="Indent2"/>
        <w:spacing w:after="0"/>
        <w:ind w:left="0" w:right="301"/>
        <w:jc w:val="both"/>
        <w:rPr>
          <w:rFonts w:cs="Arial"/>
          <w:color w:val="000000" w:themeColor="text1"/>
          <w:sz w:val="24"/>
          <w:szCs w:val="24"/>
          <w:lang w:val="en-GB"/>
        </w:rPr>
      </w:pPr>
    </w:p>
    <w:p w14:paraId="62993DA4" w14:textId="77777777" w:rsidR="00663512" w:rsidRPr="007B3B90" w:rsidRDefault="00663512" w:rsidP="00663512"/>
    <w:p w14:paraId="2BDEB1D8" w14:textId="77777777" w:rsidR="00663512" w:rsidRPr="007B3B90" w:rsidRDefault="00D45A17" w:rsidP="00880434">
      <w:pPr>
        <w:pStyle w:val="QAHeading2"/>
        <w:numPr>
          <w:ilvl w:val="1"/>
          <w:numId w:val="2"/>
        </w:numPr>
        <w:rPr>
          <w:sz w:val="24"/>
          <w:szCs w:val="24"/>
        </w:rPr>
      </w:pPr>
      <w:bookmarkStart w:id="10" w:name="_Toc33098108"/>
      <w:r w:rsidRPr="007B3B90">
        <w:rPr>
          <w:sz w:val="24"/>
          <w:szCs w:val="24"/>
        </w:rPr>
        <w:t>STUDY OUTCOME MEASURES</w:t>
      </w:r>
      <w:bookmarkEnd w:id="10"/>
    </w:p>
    <w:p w14:paraId="661CD516" w14:textId="77777777" w:rsidR="004979BB" w:rsidRPr="007B3B90" w:rsidRDefault="004979BB" w:rsidP="004979BB">
      <w:pPr>
        <w:pStyle w:val="Heading3"/>
        <w:spacing w:before="0" w:after="0"/>
        <w:ind w:left="567" w:right="301"/>
        <w:rPr>
          <w:b w:val="0"/>
          <w:color w:val="000000" w:themeColor="text1"/>
          <w:sz w:val="24"/>
          <w:szCs w:val="24"/>
        </w:rPr>
      </w:pPr>
      <w:bookmarkStart w:id="11" w:name="_Toc286413990"/>
      <w:bookmarkStart w:id="12" w:name="_Toc298749485"/>
      <w:bookmarkStart w:id="13" w:name="_Toc63938571"/>
    </w:p>
    <w:p w14:paraId="73D80D36" w14:textId="2051B0A3" w:rsidR="004979BB" w:rsidRPr="007B3B90" w:rsidRDefault="004979BB" w:rsidP="00C77EBA">
      <w:pPr>
        <w:pStyle w:val="Heading3"/>
        <w:spacing w:before="0" w:after="0"/>
        <w:ind w:left="567" w:right="301"/>
        <w:rPr>
          <w:b w:val="0"/>
          <w:color w:val="000000" w:themeColor="text1"/>
          <w:sz w:val="24"/>
          <w:szCs w:val="24"/>
          <w:u w:val="single"/>
        </w:rPr>
      </w:pPr>
      <w:r w:rsidRPr="007B3B90">
        <w:rPr>
          <w:b w:val="0"/>
          <w:color w:val="000000" w:themeColor="text1"/>
          <w:sz w:val="24"/>
          <w:szCs w:val="24"/>
          <w:u w:val="single"/>
        </w:rPr>
        <w:t>Primary Endpoint</w:t>
      </w:r>
      <w:bookmarkEnd w:id="11"/>
      <w:bookmarkEnd w:id="12"/>
      <w:r w:rsidRPr="007B3B90">
        <w:rPr>
          <w:b w:val="0"/>
          <w:color w:val="000000" w:themeColor="text1"/>
          <w:sz w:val="24"/>
          <w:szCs w:val="24"/>
          <w:u w:val="single"/>
        </w:rPr>
        <w:t>s</w:t>
      </w:r>
      <w:bookmarkEnd w:id="13"/>
    </w:p>
    <w:p w14:paraId="427FD949" w14:textId="77777777" w:rsidR="004979BB" w:rsidRPr="007B3B90" w:rsidRDefault="004979BB" w:rsidP="00AB0314">
      <w:pPr>
        <w:ind w:left="567" w:right="301"/>
        <w:jc w:val="both"/>
        <w:rPr>
          <w:rFonts w:cs="Arial"/>
        </w:rPr>
      </w:pPr>
    </w:p>
    <w:p w14:paraId="3DBFAB59" w14:textId="7659F8F4" w:rsidR="004979BB" w:rsidRPr="00651341" w:rsidRDefault="004979BB" w:rsidP="00100304">
      <w:pPr>
        <w:tabs>
          <w:tab w:val="left" w:pos="9639"/>
          <w:tab w:val="left" w:pos="9781"/>
          <w:tab w:val="left" w:pos="10065"/>
        </w:tabs>
        <w:jc w:val="both"/>
        <w:rPr>
          <w:rFonts w:cs="Arial"/>
          <w:bCs/>
        </w:rPr>
      </w:pPr>
      <w:r w:rsidRPr="00651341">
        <w:rPr>
          <w:rFonts w:cs="Arial"/>
          <w:bCs/>
        </w:rPr>
        <w:t xml:space="preserve">This study will formally assess a short stay pathway for AAA repair with the aim of reporting the: </w:t>
      </w:r>
    </w:p>
    <w:p w14:paraId="0DE406A0" w14:textId="77777777" w:rsidR="00B5057B" w:rsidRPr="007B3B90" w:rsidRDefault="00B5057B" w:rsidP="00100304">
      <w:pPr>
        <w:tabs>
          <w:tab w:val="left" w:pos="9639"/>
          <w:tab w:val="left" w:pos="9781"/>
          <w:tab w:val="left" w:pos="10065"/>
        </w:tabs>
        <w:jc w:val="both"/>
        <w:rPr>
          <w:rFonts w:cs="Arial"/>
          <w:bCs/>
        </w:rPr>
      </w:pPr>
    </w:p>
    <w:p w14:paraId="6795C69D" w14:textId="77777777" w:rsidR="004979BB" w:rsidRPr="007B3B90" w:rsidRDefault="004979BB" w:rsidP="00100304">
      <w:pPr>
        <w:numPr>
          <w:ilvl w:val="0"/>
          <w:numId w:val="9"/>
        </w:numPr>
        <w:tabs>
          <w:tab w:val="left" w:pos="9639"/>
          <w:tab w:val="left" w:pos="9781"/>
          <w:tab w:val="left" w:pos="10065"/>
        </w:tabs>
        <w:ind w:left="567" w:hanging="357"/>
        <w:jc w:val="both"/>
        <w:rPr>
          <w:rFonts w:cs="Arial"/>
          <w:bCs/>
        </w:rPr>
      </w:pPr>
      <w:r w:rsidRPr="007B3B90">
        <w:rPr>
          <w:rFonts w:cs="Arial"/>
          <w:bCs/>
        </w:rPr>
        <w:t xml:space="preserve">Proportion of infrarenal AAA patients suitable for EVAR using a short stay pathway (eligibility) </w:t>
      </w:r>
    </w:p>
    <w:p w14:paraId="77F158E9" w14:textId="77777777" w:rsidR="004979BB" w:rsidRPr="007B3B90" w:rsidRDefault="004979BB" w:rsidP="00100304">
      <w:pPr>
        <w:numPr>
          <w:ilvl w:val="0"/>
          <w:numId w:val="9"/>
        </w:numPr>
        <w:tabs>
          <w:tab w:val="left" w:pos="9639"/>
          <w:tab w:val="left" w:pos="9781"/>
          <w:tab w:val="left" w:pos="10065"/>
        </w:tabs>
        <w:ind w:left="567" w:hanging="357"/>
        <w:jc w:val="both"/>
        <w:rPr>
          <w:rFonts w:cs="Arial"/>
          <w:bCs/>
        </w:rPr>
      </w:pPr>
      <w:r w:rsidRPr="007B3B90">
        <w:rPr>
          <w:rFonts w:cs="Arial"/>
          <w:bCs/>
        </w:rPr>
        <w:t xml:space="preserve">Proportion of these patients who will accept admission to undergo EVAR using STAR pathway (uptake) </w:t>
      </w:r>
    </w:p>
    <w:p w14:paraId="1C900686" w14:textId="02C6A140" w:rsidR="004E71D5" w:rsidRPr="007B3B90" w:rsidRDefault="004979BB" w:rsidP="00100304">
      <w:pPr>
        <w:numPr>
          <w:ilvl w:val="0"/>
          <w:numId w:val="9"/>
        </w:numPr>
        <w:tabs>
          <w:tab w:val="left" w:pos="9639"/>
          <w:tab w:val="left" w:pos="9781"/>
          <w:tab w:val="left" w:pos="10065"/>
        </w:tabs>
        <w:ind w:left="567" w:hanging="357"/>
        <w:jc w:val="both"/>
        <w:rPr>
          <w:rFonts w:cs="Arial"/>
          <w:bCs/>
        </w:rPr>
      </w:pPr>
      <w:r w:rsidRPr="007B3B90">
        <w:rPr>
          <w:rFonts w:cs="Arial"/>
          <w:bCs/>
        </w:rPr>
        <w:t xml:space="preserve">Proportion of patients admitted to the short-stay pathway </w:t>
      </w:r>
      <w:r w:rsidR="00A638E7" w:rsidRPr="007B3B90">
        <w:rPr>
          <w:rFonts w:cs="Arial"/>
          <w:bCs/>
        </w:rPr>
        <w:t>who</w:t>
      </w:r>
      <w:r w:rsidRPr="007B3B90">
        <w:rPr>
          <w:rFonts w:cs="Arial"/>
          <w:bCs/>
        </w:rPr>
        <w:t xml:space="preserve"> are able to be discharged at 23-hours (viability)</w:t>
      </w:r>
    </w:p>
    <w:p w14:paraId="66FFE5F0" w14:textId="7B7739F0" w:rsidR="00777D1D" w:rsidRPr="00D03ACF" w:rsidRDefault="004979BB" w:rsidP="00E022DF">
      <w:pPr>
        <w:numPr>
          <w:ilvl w:val="0"/>
          <w:numId w:val="9"/>
        </w:numPr>
        <w:tabs>
          <w:tab w:val="left" w:pos="9639"/>
          <w:tab w:val="left" w:pos="9781"/>
          <w:tab w:val="left" w:pos="10065"/>
        </w:tabs>
        <w:ind w:left="567" w:hanging="357"/>
        <w:jc w:val="both"/>
        <w:rPr>
          <w:rFonts w:cs="Arial"/>
          <w:bCs/>
        </w:rPr>
      </w:pPr>
      <w:r w:rsidRPr="00D03ACF">
        <w:rPr>
          <w:rFonts w:cs="Arial"/>
          <w:bCs/>
        </w:rPr>
        <w:t xml:space="preserve">Patient </w:t>
      </w:r>
      <w:r w:rsidR="000A495F" w:rsidRPr="00D03ACF">
        <w:rPr>
          <w:rFonts w:cs="Arial"/>
          <w:bCs/>
        </w:rPr>
        <w:t>w</w:t>
      </w:r>
      <w:r w:rsidR="006E78B7" w:rsidRPr="00D03ACF">
        <w:rPr>
          <w:rFonts w:cs="Arial"/>
          <w:bCs/>
        </w:rPr>
        <w:t>ell-</w:t>
      </w:r>
      <w:r w:rsidR="000A495F" w:rsidRPr="00D03ACF">
        <w:rPr>
          <w:rFonts w:cs="Arial"/>
          <w:bCs/>
        </w:rPr>
        <w:t>b</w:t>
      </w:r>
      <w:r w:rsidR="006E78B7" w:rsidRPr="00D03ACF">
        <w:rPr>
          <w:rFonts w:cs="Arial"/>
          <w:bCs/>
        </w:rPr>
        <w:t>eing (W-BQ</w:t>
      </w:r>
      <w:r w:rsidR="009D3A58" w:rsidRPr="00D03ACF">
        <w:rPr>
          <w:rFonts w:cs="Arial"/>
          <w:bCs/>
        </w:rPr>
        <w:t xml:space="preserve">16), </w:t>
      </w:r>
      <w:r w:rsidR="00A638E7" w:rsidRPr="00D03ACF">
        <w:rPr>
          <w:rFonts w:cs="Arial"/>
          <w:bCs/>
        </w:rPr>
        <w:t xml:space="preserve">treatment </w:t>
      </w:r>
      <w:r w:rsidRPr="00D03ACF">
        <w:rPr>
          <w:rFonts w:cs="Arial"/>
          <w:bCs/>
        </w:rPr>
        <w:t>satisfaction</w:t>
      </w:r>
      <w:r w:rsidR="004E4701" w:rsidRPr="00D03ACF">
        <w:rPr>
          <w:rFonts w:cs="Arial"/>
          <w:bCs/>
        </w:rPr>
        <w:t xml:space="preserve"> </w:t>
      </w:r>
      <w:r w:rsidR="00205907" w:rsidRPr="00D03ACF">
        <w:rPr>
          <w:rFonts w:cs="Arial"/>
          <w:bCs/>
        </w:rPr>
        <w:t>(</w:t>
      </w:r>
      <w:proofErr w:type="spellStart"/>
      <w:r w:rsidR="00205907">
        <w:t>AneurysmTSQ</w:t>
      </w:r>
      <w:proofErr w:type="spellEnd"/>
      <w:r w:rsidR="00205907" w:rsidRPr="00D03ACF">
        <w:rPr>
          <w:rFonts w:cs="Arial"/>
          <w:bCs/>
        </w:rPr>
        <w:t>)</w:t>
      </w:r>
      <w:r w:rsidR="009D3A58" w:rsidRPr="00D03ACF">
        <w:rPr>
          <w:rFonts w:cs="Arial"/>
          <w:bCs/>
        </w:rPr>
        <w:t xml:space="preserve">, </w:t>
      </w:r>
      <w:r w:rsidR="001F4BDC" w:rsidRPr="00D03ACF">
        <w:rPr>
          <w:rFonts w:cs="Arial"/>
          <w:bCs/>
        </w:rPr>
        <w:t>and EQ</w:t>
      </w:r>
      <w:r w:rsidR="00033596" w:rsidRPr="00D03ACF">
        <w:rPr>
          <w:rFonts w:cs="Arial"/>
          <w:bCs/>
        </w:rPr>
        <w:t>-</w:t>
      </w:r>
      <w:r w:rsidR="001F4BDC" w:rsidRPr="00D03ACF">
        <w:rPr>
          <w:rFonts w:cs="Arial"/>
          <w:bCs/>
        </w:rPr>
        <w:t>5D</w:t>
      </w:r>
      <w:r w:rsidR="00033596" w:rsidRPr="00D03ACF">
        <w:rPr>
          <w:rFonts w:cs="Arial"/>
          <w:bCs/>
        </w:rPr>
        <w:t>-</w:t>
      </w:r>
      <w:r w:rsidR="001F4BDC" w:rsidRPr="00D03ACF">
        <w:rPr>
          <w:rFonts w:cs="Arial"/>
          <w:bCs/>
        </w:rPr>
        <w:t>5L</w:t>
      </w:r>
      <w:r w:rsidR="001F0286">
        <w:rPr>
          <w:rFonts w:cs="Arial"/>
          <w:bCs/>
        </w:rPr>
        <w:t xml:space="preserve"> (quality of life)</w:t>
      </w:r>
      <w:r w:rsidR="001F4BDC" w:rsidRPr="00D03ACF">
        <w:rPr>
          <w:rFonts w:cs="Arial"/>
          <w:bCs/>
        </w:rPr>
        <w:t xml:space="preserve"> </w:t>
      </w:r>
      <w:r w:rsidR="00E938B0" w:rsidRPr="00D03ACF">
        <w:rPr>
          <w:rFonts w:cs="Arial"/>
          <w:bCs/>
        </w:rPr>
        <w:t xml:space="preserve">questionnaires will be administered at </w:t>
      </w:r>
      <w:r w:rsidR="000B11BD" w:rsidRPr="00D03ACF">
        <w:rPr>
          <w:rFonts w:cs="Arial"/>
          <w:bCs/>
        </w:rPr>
        <w:t>different points of the study</w:t>
      </w:r>
      <w:r w:rsidR="007D52A7" w:rsidRPr="00D03ACF">
        <w:rPr>
          <w:rFonts w:cs="Arial"/>
          <w:bCs/>
        </w:rPr>
        <w:t xml:space="preserve"> including at baseline (prior to STAR), </w:t>
      </w:r>
      <w:r w:rsidR="0016770F" w:rsidRPr="00D03ACF">
        <w:rPr>
          <w:rFonts w:cs="Arial"/>
          <w:bCs/>
        </w:rPr>
        <w:t xml:space="preserve">as well as </w:t>
      </w:r>
      <w:r w:rsidR="007D52A7" w:rsidRPr="00D03ACF">
        <w:rPr>
          <w:rFonts w:cs="Arial"/>
          <w:bCs/>
        </w:rPr>
        <w:t>at</w:t>
      </w:r>
      <w:r w:rsidR="001F0286">
        <w:rPr>
          <w:rFonts w:cs="Arial"/>
          <w:bCs/>
        </w:rPr>
        <w:t xml:space="preserve"> 2-4 days,</w:t>
      </w:r>
      <w:r w:rsidR="007D52A7" w:rsidRPr="00D03ACF">
        <w:rPr>
          <w:rFonts w:cs="Arial"/>
          <w:bCs/>
        </w:rPr>
        <w:t xml:space="preserve"> 30 days, </w:t>
      </w:r>
      <w:r w:rsidR="0016770F" w:rsidRPr="00D03ACF">
        <w:rPr>
          <w:rFonts w:cs="Arial"/>
          <w:bCs/>
        </w:rPr>
        <w:t>3- and 6-months after STAR.</w:t>
      </w:r>
      <w:r w:rsidR="00A7708D" w:rsidRPr="00D03ACF">
        <w:rPr>
          <w:rFonts w:cs="Arial"/>
          <w:bCs/>
        </w:rPr>
        <w:t xml:space="preserve"> </w:t>
      </w:r>
      <w:r w:rsidR="00777D1D" w:rsidRPr="00D03ACF">
        <w:rPr>
          <w:rFonts w:cs="Arial"/>
          <w:bCs/>
        </w:rPr>
        <w:t>(See Appendix 1 for questionnaire schedule)</w:t>
      </w:r>
      <w:r w:rsidR="00A7708D" w:rsidRPr="00D03ACF">
        <w:rPr>
          <w:rFonts w:cs="Arial"/>
          <w:bCs/>
        </w:rPr>
        <w:t>.</w:t>
      </w:r>
    </w:p>
    <w:p w14:paraId="6A2C4269" w14:textId="11D288F9" w:rsidR="00D13E7C" w:rsidRPr="007B3B90" w:rsidRDefault="004E71D5" w:rsidP="004E71D5">
      <w:pPr>
        <w:numPr>
          <w:ilvl w:val="0"/>
          <w:numId w:val="9"/>
        </w:numPr>
        <w:tabs>
          <w:tab w:val="left" w:pos="9639"/>
          <w:tab w:val="left" w:pos="9781"/>
          <w:tab w:val="left" w:pos="10065"/>
        </w:tabs>
        <w:ind w:left="567" w:hanging="357"/>
        <w:jc w:val="both"/>
        <w:rPr>
          <w:rFonts w:cs="Arial"/>
          <w:bCs/>
        </w:rPr>
      </w:pPr>
      <w:r w:rsidRPr="007B3B90">
        <w:rPr>
          <w:color w:val="000000"/>
        </w:rPr>
        <w:t>Rate of device-related and other adverse events, readmission, mortality (at 30</w:t>
      </w:r>
      <w:r w:rsidR="009C2050">
        <w:rPr>
          <w:color w:val="000000"/>
        </w:rPr>
        <w:t xml:space="preserve"> days,</w:t>
      </w:r>
      <w:r w:rsidRPr="007B3B90">
        <w:rPr>
          <w:color w:val="000000"/>
        </w:rPr>
        <w:t xml:space="preserve"> </w:t>
      </w:r>
      <w:r w:rsidR="009C2050">
        <w:rPr>
          <w:color w:val="000000"/>
        </w:rPr>
        <w:t>3-</w:t>
      </w:r>
      <w:r w:rsidR="0051029A" w:rsidRPr="007B3B90">
        <w:rPr>
          <w:color w:val="000000"/>
        </w:rPr>
        <w:t>,</w:t>
      </w:r>
      <w:r w:rsidRPr="007B3B90">
        <w:rPr>
          <w:color w:val="000000"/>
        </w:rPr>
        <w:t xml:space="preserve"> 6</w:t>
      </w:r>
      <w:r w:rsidR="00D13E7C" w:rsidRPr="007B3B90">
        <w:rPr>
          <w:color w:val="000000"/>
        </w:rPr>
        <w:t>-</w:t>
      </w:r>
      <w:r w:rsidR="0051029A" w:rsidRPr="007B3B90">
        <w:rPr>
          <w:color w:val="000000"/>
        </w:rPr>
        <w:t xml:space="preserve"> and 12</w:t>
      </w:r>
      <w:r w:rsidR="00D13E7C" w:rsidRPr="007B3B90">
        <w:rPr>
          <w:color w:val="000000"/>
        </w:rPr>
        <w:t>-</w:t>
      </w:r>
      <w:r w:rsidRPr="007B3B90">
        <w:rPr>
          <w:color w:val="000000"/>
        </w:rPr>
        <w:t xml:space="preserve">months) of patients. </w:t>
      </w:r>
    </w:p>
    <w:p w14:paraId="012EBC1C" w14:textId="44447BEC" w:rsidR="004979BB" w:rsidRPr="007B3B90" w:rsidRDefault="004E71D5" w:rsidP="00C77EBA">
      <w:pPr>
        <w:numPr>
          <w:ilvl w:val="0"/>
          <w:numId w:val="9"/>
        </w:numPr>
        <w:tabs>
          <w:tab w:val="left" w:pos="9639"/>
          <w:tab w:val="left" w:pos="9781"/>
          <w:tab w:val="left" w:pos="10065"/>
        </w:tabs>
        <w:ind w:left="567" w:hanging="425"/>
        <w:rPr>
          <w:rFonts w:cs="Arial"/>
          <w:bCs/>
        </w:rPr>
      </w:pPr>
      <w:r w:rsidRPr="007B3B90">
        <w:rPr>
          <w:color w:val="000000"/>
        </w:rPr>
        <w:t xml:space="preserve">Costs up to 6 months. </w:t>
      </w:r>
      <w:r w:rsidR="00D13E7C" w:rsidRPr="007B3B90">
        <w:rPr>
          <w:color w:val="000000"/>
        </w:rPr>
        <w:br/>
      </w:r>
      <w:r w:rsidR="00D13E7C" w:rsidRPr="007B3B90">
        <w:rPr>
          <w:color w:val="000000"/>
        </w:rPr>
        <w:br/>
      </w:r>
      <w:r w:rsidR="00D13E7C" w:rsidRPr="007B3B90">
        <w:rPr>
          <w:rFonts w:cs="Arial"/>
          <w:bCs/>
          <w:u w:val="single"/>
        </w:rPr>
        <w:t>Secondary Endpoints</w:t>
      </w:r>
      <w:r w:rsidR="004168C6" w:rsidRPr="007B3B90">
        <w:rPr>
          <w:color w:val="000000"/>
        </w:rPr>
        <w:br/>
      </w:r>
    </w:p>
    <w:p w14:paraId="5A762897" w14:textId="39340B48" w:rsidR="00C77EBA" w:rsidRPr="00C77EBA" w:rsidRDefault="0051029A" w:rsidP="00C77EBA">
      <w:pPr>
        <w:numPr>
          <w:ilvl w:val="0"/>
          <w:numId w:val="9"/>
        </w:numPr>
        <w:tabs>
          <w:tab w:val="left" w:pos="9639"/>
          <w:tab w:val="left" w:pos="9781"/>
          <w:tab w:val="left" w:pos="10065"/>
        </w:tabs>
        <w:ind w:left="567" w:hanging="357"/>
        <w:jc w:val="both"/>
        <w:rPr>
          <w:rFonts w:cs="Arial"/>
          <w:bCs/>
        </w:rPr>
      </w:pPr>
      <w:r w:rsidRPr="007B3B90">
        <w:rPr>
          <w:rFonts w:cs="Arial"/>
          <w:bCs/>
        </w:rPr>
        <w:t xml:space="preserve">Qualitative </w:t>
      </w:r>
      <w:r w:rsidR="004979BB" w:rsidRPr="007B3B90">
        <w:rPr>
          <w:rFonts w:cs="Arial"/>
          <w:bCs/>
        </w:rPr>
        <w:t xml:space="preserve">data will also be collected describing the experiences, worries and concerns of patients, </w:t>
      </w:r>
      <w:r w:rsidR="00D03ACF" w:rsidRPr="007B3B90">
        <w:rPr>
          <w:rFonts w:cs="Arial"/>
          <w:bCs/>
        </w:rPr>
        <w:t>families,</w:t>
      </w:r>
      <w:r w:rsidR="004979BB" w:rsidRPr="007B3B90">
        <w:rPr>
          <w:rFonts w:cs="Arial"/>
          <w:bCs/>
        </w:rPr>
        <w:t xml:space="preserve"> and GPs; the key barriers and drivers to implementation of a 23-hour pathway; potential improvements to </w:t>
      </w:r>
      <w:r w:rsidR="00BE002B" w:rsidRPr="007B3B90">
        <w:rPr>
          <w:rFonts w:cs="Arial"/>
          <w:bCs/>
        </w:rPr>
        <w:t xml:space="preserve">the </w:t>
      </w:r>
      <w:r w:rsidR="004979BB" w:rsidRPr="007B3B90">
        <w:rPr>
          <w:rFonts w:cs="Arial"/>
          <w:bCs/>
        </w:rPr>
        <w:t>proposed short-stay pathway; and an assessment of the key determinants of resource use, including those of nurse-led follow-up, to allow formal health economic analysis.</w:t>
      </w:r>
    </w:p>
    <w:p w14:paraId="023E4F45" w14:textId="75F2E84C" w:rsidR="004979BB" w:rsidRPr="007B3B90" w:rsidRDefault="0051029A" w:rsidP="006D678C">
      <w:pPr>
        <w:numPr>
          <w:ilvl w:val="0"/>
          <w:numId w:val="9"/>
        </w:numPr>
        <w:tabs>
          <w:tab w:val="left" w:pos="9639"/>
          <w:tab w:val="left" w:pos="9781"/>
          <w:tab w:val="left" w:pos="10065"/>
        </w:tabs>
        <w:ind w:left="567" w:hanging="357"/>
        <w:jc w:val="both"/>
        <w:rPr>
          <w:rFonts w:cs="Arial"/>
          <w:bCs/>
        </w:rPr>
      </w:pPr>
      <w:r w:rsidRPr="007B3B90">
        <w:rPr>
          <w:rFonts w:cs="Arial"/>
          <w:bCs/>
        </w:rPr>
        <w:t xml:space="preserve"> </w:t>
      </w:r>
      <w:r w:rsidR="004979BB" w:rsidRPr="007B3B90">
        <w:rPr>
          <w:rFonts w:cs="Arial"/>
          <w:bCs/>
        </w:rPr>
        <w:t xml:space="preserve">Lastly, </w:t>
      </w:r>
      <w:r w:rsidR="00D13E7C" w:rsidRPr="007B3B90">
        <w:rPr>
          <w:rFonts w:cs="Arial"/>
          <w:bCs/>
        </w:rPr>
        <w:t>if there are a significant proportion eligible and accepting the pathway and the pathway is viable without perceived safety issues.</w:t>
      </w:r>
      <w:r w:rsidR="00BE002B" w:rsidRPr="007B3B90">
        <w:rPr>
          <w:rFonts w:cs="Arial"/>
          <w:bCs/>
        </w:rPr>
        <w:t xml:space="preserve"> </w:t>
      </w:r>
      <w:r w:rsidR="004979BB" w:rsidRPr="007B3B90">
        <w:rPr>
          <w:rFonts w:cs="Arial"/>
          <w:bCs/>
        </w:rPr>
        <w:t xml:space="preserve">then work should focus on widespread adoption.  </w:t>
      </w:r>
      <w:r w:rsidR="00D13E7C" w:rsidRPr="007B3B90">
        <w:rPr>
          <w:rFonts w:cs="Arial"/>
          <w:bCs/>
        </w:rPr>
        <w:t>We</w:t>
      </w:r>
      <w:r w:rsidR="004979BB" w:rsidRPr="007B3B90">
        <w:rPr>
          <w:rFonts w:cs="Arial"/>
          <w:bCs/>
        </w:rPr>
        <w:t xml:space="preserve"> will produce a ‘tool-kit’, which may be used for implementation of a short-stay pathway in a wider group. This will allow other units to take on STAR if this pathway proves effective.</w:t>
      </w:r>
    </w:p>
    <w:p w14:paraId="162609DF" w14:textId="77777777" w:rsidR="00663512" w:rsidRPr="007B3B90" w:rsidRDefault="00663512" w:rsidP="00663512"/>
    <w:p w14:paraId="4C556DE7" w14:textId="77777777" w:rsidR="00663512" w:rsidRPr="007B3B90" w:rsidRDefault="00663512" w:rsidP="00663512"/>
    <w:p w14:paraId="0466121C" w14:textId="77777777" w:rsidR="00663512" w:rsidRPr="007B3B90" w:rsidRDefault="00663512" w:rsidP="00D057F1">
      <w:pPr>
        <w:pStyle w:val="Heading1"/>
        <w:rPr>
          <w:sz w:val="24"/>
        </w:rPr>
      </w:pPr>
      <w:bookmarkStart w:id="14" w:name="_Toc33089433"/>
      <w:bookmarkStart w:id="15" w:name="_Toc33098109"/>
      <w:r w:rsidRPr="007B3B90">
        <w:rPr>
          <w:sz w:val="24"/>
        </w:rPr>
        <w:lastRenderedPageBreak/>
        <w:t>P</w:t>
      </w:r>
      <w:bookmarkEnd w:id="14"/>
      <w:r w:rsidR="00BE7282" w:rsidRPr="007B3B90">
        <w:rPr>
          <w:sz w:val="24"/>
        </w:rPr>
        <w:t>ARTICIPANT ENTRY</w:t>
      </w:r>
      <w:bookmarkEnd w:id="15"/>
    </w:p>
    <w:p w14:paraId="5AD171D2" w14:textId="77777777" w:rsidR="00663512" w:rsidRPr="007B3B90" w:rsidRDefault="00663512" w:rsidP="0042141D">
      <w:pPr>
        <w:pStyle w:val="Heading2"/>
      </w:pPr>
    </w:p>
    <w:p w14:paraId="3008613A" w14:textId="464FE213" w:rsidR="00663512" w:rsidRPr="007B3B90" w:rsidRDefault="00D057F1" w:rsidP="00880434">
      <w:pPr>
        <w:pStyle w:val="QAHeading2"/>
        <w:numPr>
          <w:ilvl w:val="1"/>
          <w:numId w:val="2"/>
        </w:numPr>
        <w:rPr>
          <w:sz w:val="24"/>
          <w:szCs w:val="24"/>
        </w:rPr>
      </w:pPr>
      <w:bookmarkStart w:id="16" w:name="_Toc33098110"/>
      <w:bookmarkStart w:id="17" w:name="_Toc33089434"/>
      <w:r w:rsidRPr="007B3B90">
        <w:rPr>
          <w:sz w:val="24"/>
          <w:szCs w:val="24"/>
        </w:rPr>
        <w:t>PRE-REGISTRATION EVALUATIONS</w:t>
      </w:r>
      <w:bookmarkEnd w:id="16"/>
      <w:r w:rsidRPr="007B3B90">
        <w:rPr>
          <w:sz w:val="24"/>
          <w:szCs w:val="24"/>
        </w:rPr>
        <w:t xml:space="preserve"> </w:t>
      </w:r>
      <w:bookmarkEnd w:id="17"/>
    </w:p>
    <w:p w14:paraId="01A0CC72" w14:textId="77777777" w:rsidR="006C319C" w:rsidRPr="007B3B90" w:rsidRDefault="006C319C" w:rsidP="006C319C">
      <w:pPr>
        <w:pStyle w:val="QAHeading2"/>
        <w:ind w:left="1440"/>
        <w:rPr>
          <w:sz w:val="24"/>
          <w:szCs w:val="24"/>
        </w:rPr>
      </w:pPr>
    </w:p>
    <w:p w14:paraId="1BC06C27" w14:textId="4EF3A227" w:rsidR="00D03ACF" w:rsidRPr="00A1349D" w:rsidRDefault="00B95B07" w:rsidP="00D03ACF">
      <w:pPr>
        <w:pStyle w:val="Indent2"/>
        <w:ind w:left="0" w:right="142"/>
        <w:jc w:val="both"/>
        <w:rPr>
          <w:rFonts w:cs="Arial"/>
          <w:sz w:val="24"/>
          <w:szCs w:val="24"/>
          <w:lang w:val="en-GB"/>
        </w:rPr>
      </w:pPr>
      <w:r w:rsidRPr="007B3B90">
        <w:rPr>
          <w:rFonts w:cs="Arial"/>
        </w:rPr>
        <w:t xml:space="preserve">Patients </w:t>
      </w:r>
      <w:r w:rsidR="007F52CC" w:rsidRPr="007B3B90">
        <w:rPr>
          <w:rFonts w:cs="Arial"/>
        </w:rPr>
        <w:t xml:space="preserve">will receive imaging as standard of care. Those </w:t>
      </w:r>
      <w:r w:rsidRPr="007B3B90">
        <w:rPr>
          <w:rFonts w:cs="Arial"/>
        </w:rPr>
        <w:t xml:space="preserve">identified or referred to the vascular unit with </w:t>
      </w:r>
      <w:r w:rsidR="00D03ACF">
        <w:rPr>
          <w:rFonts w:cs="Arial"/>
        </w:rPr>
        <w:t xml:space="preserve">a </w:t>
      </w:r>
      <w:r w:rsidR="00D03ACF" w:rsidRPr="00A1349D">
        <w:rPr>
          <w:rFonts w:cs="Arial"/>
          <w:sz w:val="24"/>
          <w:szCs w:val="24"/>
          <w:lang w:val="en-GB"/>
        </w:rPr>
        <w:t>CT-proven aneurysm which has reached threshold for intervention (i.e., over 55 mm in males and 50 mm in females OR a saccular aneurysm that the MDT deems necessary to repair OR a common iliac aneurysm that the MDT deems necessary to repair) will be screened.</w:t>
      </w:r>
    </w:p>
    <w:p w14:paraId="68FF15B2" w14:textId="4001D0A3" w:rsidR="007F52CC" w:rsidRPr="007B3B90" w:rsidRDefault="007F52CC" w:rsidP="00100304">
      <w:pPr>
        <w:tabs>
          <w:tab w:val="left" w:pos="3402"/>
          <w:tab w:val="left" w:pos="9639"/>
          <w:tab w:val="left" w:pos="9781"/>
          <w:tab w:val="left" w:pos="10065"/>
        </w:tabs>
        <w:jc w:val="both"/>
        <w:rPr>
          <w:rFonts w:cs="Arial"/>
        </w:rPr>
      </w:pPr>
    </w:p>
    <w:p w14:paraId="036AC711" w14:textId="0A3902AF" w:rsidR="007F52CC" w:rsidRPr="007B3B90" w:rsidRDefault="007F52CC" w:rsidP="008B157A">
      <w:pPr>
        <w:tabs>
          <w:tab w:val="left" w:pos="3402"/>
          <w:tab w:val="left" w:pos="9639"/>
          <w:tab w:val="left" w:pos="9781"/>
          <w:tab w:val="left" w:pos="10065"/>
        </w:tabs>
        <w:jc w:val="both"/>
        <w:rPr>
          <w:rFonts w:cs="Arial"/>
        </w:rPr>
      </w:pPr>
      <w:r w:rsidRPr="007B3B90">
        <w:rPr>
          <w:rFonts w:cs="Arial"/>
        </w:rPr>
        <w:t>Each patient will undergo standard of care assessment at the sites from a cardiorespiratory function and social circumstances perspective, according to local standard protocols.</w:t>
      </w:r>
    </w:p>
    <w:p w14:paraId="4D074E3B" w14:textId="326389C1" w:rsidR="007F52CC" w:rsidRPr="007B3B90" w:rsidRDefault="007F52CC" w:rsidP="00100304">
      <w:pPr>
        <w:tabs>
          <w:tab w:val="left" w:pos="3402"/>
          <w:tab w:val="left" w:pos="9639"/>
          <w:tab w:val="left" w:pos="9781"/>
          <w:tab w:val="left" w:pos="10065"/>
        </w:tabs>
        <w:jc w:val="both"/>
        <w:rPr>
          <w:rFonts w:cs="Arial"/>
        </w:rPr>
      </w:pPr>
    </w:p>
    <w:p w14:paraId="3DBBA124" w14:textId="04F06332" w:rsidR="007F52CC" w:rsidRPr="007B3B90" w:rsidRDefault="007F52CC" w:rsidP="00100304">
      <w:pPr>
        <w:tabs>
          <w:tab w:val="left" w:pos="3402"/>
          <w:tab w:val="left" w:pos="9639"/>
          <w:tab w:val="left" w:pos="9781"/>
          <w:tab w:val="left" w:pos="10065"/>
        </w:tabs>
        <w:jc w:val="both"/>
        <w:rPr>
          <w:rFonts w:cs="Arial"/>
        </w:rPr>
      </w:pPr>
      <w:r w:rsidRPr="007B3B90">
        <w:rPr>
          <w:rFonts w:cs="Arial"/>
        </w:rPr>
        <w:t>Patients will be discussed in the Multidisciplinary meeting at each site</w:t>
      </w:r>
      <w:r w:rsidR="00D03ACF">
        <w:rPr>
          <w:rFonts w:cs="Arial"/>
        </w:rPr>
        <w:t xml:space="preserve"> and be seen pre-operatively in a surgical or anaesthetic clinic.</w:t>
      </w:r>
    </w:p>
    <w:p w14:paraId="5FB270B0" w14:textId="77777777" w:rsidR="006C319C" w:rsidRPr="007B3B90" w:rsidRDefault="006C319C" w:rsidP="00B93F8F">
      <w:pPr>
        <w:tabs>
          <w:tab w:val="left" w:pos="9639"/>
          <w:tab w:val="left" w:pos="9781"/>
          <w:tab w:val="left" w:pos="10065"/>
        </w:tabs>
        <w:jc w:val="both"/>
        <w:rPr>
          <w:rFonts w:cs="Arial"/>
        </w:rPr>
      </w:pPr>
    </w:p>
    <w:p w14:paraId="5B9A0C2B" w14:textId="1924CE9F" w:rsidR="006C319C" w:rsidRPr="007B3B90" w:rsidRDefault="0067037B" w:rsidP="00B93F8F">
      <w:pPr>
        <w:tabs>
          <w:tab w:val="left" w:pos="9639"/>
          <w:tab w:val="left" w:pos="9781"/>
          <w:tab w:val="left" w:pos="10065"/>
        </w:tabs>
        <w:jc w:val="both"/>
        <w:rPr>
          <w:rFonts w:cs="Arial"/>
        </w:rPr>
      </w:pPr>
      <w:r w:rsidRPr="007B3B90">
        <w:rPr>
          <w:rFonts w:cs="Arial"/>
        </w:rPr>
        <w:t xml:space="preserve">Those patients who are eligible and </w:t>
      </w:r>
      <w:r w:rsidR="00E879F2" w:rsidRPr="007B3B90">
        <w:rPr>
          <w:rFonts w:cs="Arial"/>
        </w:rPr>
        <w:t>who</w:t>
      </w:r>
      <w:r w:rsidR="006C319C" w:rsidRPr="007B3B90">
        <w:rPr>
          <w:rFonts w:cs="Arial"/>
        </w:rPr>
        <w:t xml:space="preserve"> will accept admission to this pathway will be enrolled in the study</w:t>
      </w:r>
      <w:r w:rsidR="007F52CC" w:rsidRPr="007B3B90">
        <w:rPr>
          <w:rFonts w:cs="Arial"/>
        </w:rPr>
        <w:t>.</w:t>
      </w:r>
    </w:p>
    <w:p w14:paraId="68F52FB8" w14:textId="3A858BBA" w:rsidR="00663512" w:rsidRPr="007B3B90" w:rsidRDefault="00663512" w:rsidP="0042141D">
      <w:pPr>
        <w:pStyle w:val="Heading2"/>
      </w:pPr>
    </w:p>
    <w:p w14:paraId="2C5A50D9" w14:textId="77777777" w:rsidR="00B5057B" w:rsidRPr="001A50CF" w:rsidRDefault="00B5057B" w:rsidP="00B93F8F">
      <w:pPr>
        <w:pStyle w:val="Indent2"/>
        <w:spacing w:after="0"/>
        <w:ind w:left="0"/>
        <w:jc w:val="both"/>
        <w:rPr>
          <w:rFonts w:cs="Arial"/>
          <w:sz w:val="24"/>
          <w:szCs w:val="24"/>
          <w:lang w:val="en-GB"/>
        </w:rPr>
      </w:pPr>
      <w:r w:rsidRPr="001A50CF">
        <w:rPr>
          <w:rFonts w:cs="Arial"/>
          <w:sz w:val="24"/>
          <w:szCs w:val="24"/>
          <w:lang w:val="en-GB"/>
        </w:rPr>
        <w:t>The patient is considered enrolled when they have signed the consent form after agreeing to undergo EVAR using the STAR pathway.</w:t>
      </w:r>
    </w:p>
    <w:p w14:paraId="304E2A2D" w14:textId="77777777" w:rsidR="00B5057B" w:rsidRPr="007B3B90" w:rsidRDefault="00B5057B" w:rsidP="00100304"/>
    <w:p w14:paraId="2134A4ED" w14:textId="77777777" w:rsidR="00663512" w:rsidRPr="00A57D0F" w:rsidRDefault="00D057F1" w:rsidP="00100304">
      <w:pPr>
        <w:pStyle w:val="QAHeading2"/>
        <w:numPr>
          <w:ilvl w:val="1"/>
          <w:numId w:val="2"/>
        </w:numPr>
        <w:rPr>
          <w:sz w:val="24"/>
          <w:szCs w:val="24"/>
        </w:rPr>
      </w:pPr>
      <w:bookmarkStart w:id="18" w:name="_Toc33098111"/>
      <w:bookmarkStart w:id="19" w:name="_Toc33089435"/>
      <w:r w:rsidRPr="00A57D0F">
        <w:rPr>
          <w:sz w:val="24"/>
          <w:szCs w:val="24"/>
        </w:rPr>
        <w:t>INCLUSION CRITERIA</w:t>
      </w:r>
      <w:bookmarkEnd w:id="18"/>
      <w:r w:rsidRPr="00A57D0F">
        <w:rPr>
          <w:sz w:val="24"/>
          <w:szCs w:val="24"/>
        </w:rPr>
        <w:t xml:space="preserve"> </w:t>
      </w:r>
      <w:bookmarkEnd w:id="19"/>
    </w:p>
    <w:p w14:paraId="6A249E48" w14:textId="77777777" w:rsidR="00C71D58" w:rsidRPr="00A57D0F" w:rsidRDefault="00C71D58" w:rsidP="00100304">
      <w:pPr>
        <w:tabs>
          <w:tab w:val="left" w:pos="9639"/>
          <w:tab w:val="left" w:pos="9781"/>
          <w:tab w:val="left" w:pos="10065"/>
        </w:tabs>
        <w:rPr>
          <w:rFonts w:cs="Arial"/>
        </w:rPr>
      </w:pPr>
    </w:p>
    <w:p w14:paraId="27BADFC3" w14:textId="7C1FC710" w:rsidR="00C71D58" w:rsidRPr="00A57D0F" w:rsidRDefault="00C71D58" w:rsidP="00B93F8F">
      <w:pPr>
        <w:tabs>
          <w:tab w:val="left" w:pos="9639"/>
          <w:tab w:val="left" w:pos="9781"/>
          <w:tab w:val="left" w:pos="10065"/>
        </w:tabs>
        <w:jc w:val="both"/>
        <w:rPr>
          <w:rFonts w:cs="Arial"/>
        </w:rPr>
      </w:pPr>
      <w:r w:rsidRPr="00A57D0F">
        <w:rPr>
          <w:rFonts w:cs="Arial"/>
        </w:rPr>
        <w:t>Patients may be included in the study and offered treatment using the STAR pathway if:</w:t>
      </w:r>
    </w:p>
    <w:p w14:paraId="4726F48F" w14:textId="77777777" w:rsidR="00C71D58" w:rsidRPr="00A57D0F" w:rsidRDefault="00C71D58" w:rsidP="00B93F8F">
      <w:pPr>
        <w:tabs>
          <w:tab w:val="left" w:pos="9639"/>
          <w:tab w:val="left" w:pos="9781"/>
          <w:tab w:val="left" w:pos="10065"/>
        </w:tabs>
        <w:ind w:left="567"/>
        <w:jc w:val="both"/>
        <w:rPr>
          <w:rFonts w:cs="Arial"/>
        </w:rPr>
      </w:pPr>
    </w:p>
    <w:p w14:paraId="3C80FF0C" w14:textId="77777777" w:rsidR="00C71D58" w:rsidRPr="00A57D0F" w:rsidRDefault="00C71D58" w:rsidP="00B93F8F">
      <w:pPr>
        <w:pStyle w:val="ListParagraph"/>
        <w:numPr>
          <w:ilvl w:val="0"/>
          <w:numId w:val="12"/>
        </w:numPr>
        <w:tabs>
          <w:tab w:val="left" w:pos="9639"/>
          <w:tab w:val="left" w:pos="9781"/>
          <w:tab w:val="left" w:pos="10065"/>
        </w:tabs>
        <w:ind w:left="567"/>
        <w:contextualSpacing w:val="0"/>
        <w:jc w:val="both"/>
        <w:rPr>
          <w:rFonts w:cs="Arial"/>
        </w:rPr>
      </w:pPr>
      <w:r w:rsidRPr="00A57D0F">
        <w:rPr>
          <w:rFonts w:cs="Arial"/>
        </w:rPr>
        <w:t xml:space="preserve">They have been assessed as suitable for standard infrarenal EVAR within the manufacturer’s “Instructions for Use” for the chosen endograft. </w:t>
      </w:r>
    </w:p>
    <w:p w14:paraId="3BC534D2" w14:textId="3CEC07AF" w:rsidR="00C71D58" w:rsidRPr="00A57D0F" w:rsidRDefault="00C71D58" w:rsidP="00B93F8F">
      <w:pPr>
        <w:pStyle w:val="ListParagraph"/>
        <w:numPr>
          <w:ilvl w:val="0"/>
          <w:numId w:val="12"/>
        </w:numPr>
        <w:tabs>
          <w:tab w:val="left" w:pos="9639"/>
          <w:tab w:val="left" w:pos="9781"/>
          <w:tab w:val="left" w:pos="10065"/>
        </w:tabs>
        <w:ind w:left="567"/>
        <w:contextualSpacing w:val="0"/>
        <w:jc w:val="both"/>
        <w:rPr>
          <w:rFonts w:cs="Arial"/>
        </w:rPr>
      </w:pPr>
      <w:r w:rsidRPr="00A57D0F">
        <w:rPr>
          <w:rFonts w:cs="Arial"/>
        </w:rPr>
        <w:t xml:space="preserve">Age </w:t>
      </w:r>
      <w:r w:rsidR="0066223C">
        <w:rPr>
          <w:rFonts w:cs="Arial"/>
        </w:rPr>
        <w:t xml:space="preserve">over </w:t>
      </w:r>
      <w:r w:rsidRPr="00A57D0F">
        <w:rPr>
          <w:rFonts w:cs="Arial"/>
        </w:rPr>
        <w:t>55 (effectively excluding connective tissue disease)</w:t>
      </w:r>
    </w:p>
    <w:p w14:paraId="17881E61" w14:textId="56709A99" w:rsidR="00C71D58" w:rsidRPr="00A57D0F" w:rsidRDefault="00C71D58" w:rsidP="00B93F8F">
      <w:pPr>
        <w:pStyle w:val="ListParagraph"/>
        <w:numPr>
          <w:ilvl w:val="0"/>
          <w:numId w:val="12"/>
        </w:numPr>
        <w:tabs>
          <w:tab w:val="left" w:pos="9639"/>
          <w:tab w:val="left" w:pos="9781"/>
          <w:tab w:val="left" w:pos="10065"/>
        </w:tabs>
        <w:ind w:left="567"/>
        <w:contextualSpacing w:val="0"/>
        <w:jc w:val="both"/>
        <w:rPr>
          <w:rFonts w:cs="Arial"/>
        </w:rPr>
      </w:pPr>
      <w:r w:rsidRPr="00A57D0F">
        <w:rPr>
          <w:rFonts w:cs="Arial"/>
        </w:rPr>
        <w:t>Fully independent at home or adequate provision for home care after discharge</w:t>
      </w:r>
      <w:r w:rsidR="0066223C">
        <w:rPr>
          <w:rFonts w:cs="Arial"/>
        </w:rPr>
        <w:t xml:space="preserve"> which would enable </w:t>
      </w:r>
      <w:r w:rsidR="00F23978">
        <w:rPr>
          <w:rFonts w:cs="Arial"/>
        </w:rPr>
        <w:t>patients</w:t>
      </w:r>
      <w:r w:rsidR="0066223C">
        <w:rPr>
          <w:rFonts w:cs="Arial"/>
        </w:rPr>
        <w:t xml:space="preserve"> to perform </w:t>
      </w:r>
      <w:r w:rsidR="00F23978">
        <w:rPr>
          <w:rFonts w:cs="Arial"/>
        </w:rPr>
        <w:t xml:space="preserve">basic </w:t>
      </w:r>
      <w:r w:rsidR="0066223C">
        <w:rPr>
          <w:rFonts w:cs="Arial"/>
        </w:rPr>
        <w:t xml:space="preserve">activities of daily living </w:t>
      </w:r>
      <w:r w:rsidR="0066223C" w:rsidRPr="00A57D0F">
        <w:rPr>
          <w:rFonts w:cs="Arial"/>
        </w:rPr>
        <w:t xml:space="preserve">including mobility, eating, drinking and bathing. </w:t>
      </w:r>
      <w:r w:rsidR="0066223C">
        <w:rPr>
          <w:rFonts w:cs="Arial"/>
        </w:rPr>
        <w:t xml:space="preserve"> </w:t>
      </w:r>
    </w:p>
    <w:p w14:paraId="5C022AA8" w14:textId="2377259C" w:rsidR="00C71D58" w:rsidRPr="00A57D0F" w:rsidRDefault="00C71D58" w:rsidP="00B93F8F">
      <w:pPr>
        <w:pStyle w:val="ListParagraph"/>
        <w:numPr>
          <w:ilvl w:val="0"/>
          <w:numId w:val="12"/>
        </w:numPr>
        <w:tabs>
          <w:tab w:val="left" w:pos="9639"/>
          <w:tab w:val="left" w:pos="9781"/>
          <w:tab w:val="left" w:pos="10065"/>
        </w:tabs>
        <w:ind w:left="567" w:right="142"/>
        <w:contextualSpacing w:val="0"/>
        <w:jc w:val="both"/>
        <w:rPr>
          <w:rFonts w:cs="Arial"/>
        </w:rPr>
      </w:pPr>
      <w:r w:rsidRPr="00A57D0F">
        <w:rPr>
          <w:rFonts w:cs="Arial"/>
        </w:rPr>
        <w:t xml:space="preserve">Living with a partner or family member or having similar help available </w:t>
      </w:r>
      <w:r w:rsidR="0066223C">
        <w:rPr>
          <w:rFonts w:cs="Arial"/>
        </w:rPr>
        <w:t>for the first</w:t>
      </w:r>
      <w:r w:rsidR="0066223C" w:rsidRPr="00A57D0F">
        <w:rPr>
          <w:rFonts w:cs="Arial"/>
        </w:rPr>
        <w:t xml:space="preserve"> </w:t>
      </w:r>
      <w:r w:rsidRPr="00A57D0F">
        <w:rPr>
          <w:rFonts w:cs="Arial"/>
        </w:rPr>
        <w:t xml:space="preserve">24-hours after </w:t>
      </w:r>
      <w:r w:rsidR="0066223C">
        <w:rPr>
          <w:rFonts w:cs="Arial"/>
        </w:rPr>
        <w:t>discharge from hospital</w:t>
      </w:r>
      <w:r w:rsidR="00D03ACF" w:rsidRPr="00A57D0F">
        <w:rPr>
          <w:rFonts w:cs="Arial"/>
        </w:rPr>
        <w:t>.</w:t>
      </w:r>
    </w:p>
    <w:p w14:paraId="3D5DA3A5" w14:textId="3A5499D4" w:rsidR="00C8160F" w:rsidRDefault="00C71D58" w:rsidP="00C8160F">
      <w:pPr>
        <w:pStyle w:val="ListParagraph"/>
        <w:numPr>
          <w:ilvl w:val="0"/>
          <w:numId w:val="12"/>
        </w:numPr>
        <w:tabs>
          <w:tab w:val="left" w:pos="9639"/>
          <w:tab w:val="left" w:pos="9781"/>
          <w:tab w:val="left" w:pos="10065"/>
        </w:tabs>
        <w:ind w:left="567" w:right="142"/>
        <w:contextualSpacing w:val="0"/>
        <w:jc w:val="both"/>
        <w:rPr>
          <w:rFonts w:cs="Arial"/>
        </w:rPr>
      </w:pPr>
      <w:r w:rsidRPr="00A57D0F">
        <w:rPr>
          <w:rFonts w:cs="Arial"/>
        </w:rPr>
        <w:t xml:space="preserve">Transport to attend </w:t>
      </w:r>
      <w:r w:rsidR="001456C9">
        <w:rPr>
          <w:rFonts w:cs="Arial"/>
        </w:rPr>
        <w:t xml:space="preserve">the </w:t>
      </w:r>
      <w:r w:rsidRPr="00A57D0F">
        <w:rPr>
          <w:rFonts w:cs="Arial"/>
        </w:rPr>
        <w:t xml:space="preserve">hospital </w:t>
      </w:r>
      <w:r w:rsidR="001456C9">
        <w:rPr>
          <w:rFonts w:cs="Arial"/>
        </w:rPr>
        <w:t xml:space="preserve">in which they were treated </w:t>
      </w:r>
      <w:r w:rsidRPr="00A57D0F">
        <w:rPr>
          <w:rFonts w:cs="Arial"/>
        </w:rPr>
        <w:t>within 1 hour</w:t>
      </w:r>
      <w:r w:rsidR="0066223C">
        <w:rPr>
          <w:rFonts w:cs="Arial"/>
        </w:rPr>
        <w:t xml:space="preserve"> for the first 24-hours after discharge.</w:t>
      </w:r>
      <w:r w:rsidR="001456C9">
        <w:rPr>
          <w:rFonts w:cs="Arial"/>
        </w:rPr>
        <w:t xml:space="preserve"> Should an ambulance not be readily available to attend hospital within this timeframe, patients must be made aware and agree to make their own transport arrangements.</w:t>
      </w:r>
    </w:p>
    <w:p w14:paraId="5BC516AB" w14:textId="77777777" w:rsidR="00C71D58" w:rsidRPr="00A57D0F" w:rsidRDefault="00C71D58" w:rsidP="00AB0314">
      <w:pPr>
        <w:pStyle w:val="Bullet2"/>
        <w:numPr>
          <w:ilvl w:val="0"/>
          <w:numId w:val="12"/>
        </w:numPr>
        <w:spacing w:after="0"/>
        <w:ind w:left="567" w:right="142"/>
        <w:jc w:val="both"/>
        <w:rPr>
          <w:rFonts w:cs="Arial"/>
          <w:color w:val="000000" w:themeColor="text1"/>
          <w:sz w:val="24"/>
          <w:szCs w:val="24"/>
          <w:lang w:val="en-GB"/>
        </w:rPr>
      </w:pPr>
      <w:r w:rsidRPr="00A57D0F">
        <w:rPr>
          <w:rFonts w:cs="Arial"/>
          <w:color w:val="000000" w:themeColor="text1"/>
          <w:sz w:val="24"/>
          <w:szCs w:val="24"/>
          <w:lang w:val="en-GB"/>
        </w:rPr>
        <w:t>Capable of complying with Protocol requirements, including follow-up.</w:t>
      </w:r>
    </w:p>
    <w:p w14:paraId="33037437" w14:textId="2AFE15B7" w:rsidR="00C71D58" w:rsidRPr="00A57D0F" w:rsidRDefault="00C71D58" w:rsidP="00AB0314">
      <w:pPr>
        <w:pStyle w:val="Bullet2"/>
        <w:numPr>
          <w:ilvl w:val="0"/>
          <w:numId w:val="12"/>
        </w:numPr>
        <w:spacing w:after="0"/>
        <w:ind w:left="567" w:right="142"/>
        <w:jc w:val="both"/>
        <w:rPr>
          <w:rFonts w:cs="Arial"/>
          <w:color w:val="000000" w:themeColor="text1"/>
          <w:sz w:val="24"/>
          <w:szCs w:val="24"/>
          <w:lang w:val="en-GB"/>
        </w:rPr>
      </w:pPr>
      <w:r w:rsidRPr="00A57D0F">
        <w:rPr>
          <w:rFonts w:cs="Arial"/>
          <w:color w:val="000000" w:themeColor="text1"/>
          <w:sz w:val="24"/>
          <w:szCs w:val="24"/>
          <w:lang w:val="en-GB"/>
        </w:rPr>
        <w:t>An Informed Consent Form signed by</w:t>
      </w:r>
      <w:r w:rsidR="00AE15AF" w:rsidRPr="00A57D0F">
        <w:rPr>
          <w:rFonts w:cs="Arial"/>
          <w:color w:val="000000" w:themeColor="text1"/>
          <w:sz w:val="24"/>
          <w:szCs w:val="24"/>
          <w:lang w:val="en-GB"/>
        </w:rPr>
        <w:t xml:space="preserve"> the participant </w:t>
      </w:r>
      <w:r w:rsidRPr="00A57D0F">
        <w:rPr>
          <w:rFonts w:cs="Arial"/>
          <w:color w:val="000000" w:themeColor="text1"/>
          <w:sz w:val="24"/>
          <w:szCs w:val="24"/>
          <w:lang w:val="en-GB"/>
        </w:rPr>
        <w:t>or legal representative.</w:t>
      </w:r>
      <w:r w:rsidR="0066223C">
        <w:rPr>
          <w:rFonts w:cs="Arial"/>
          <w:color w:val="000000" w:themeColor="text1"/>
          <w:sz w:val="24"/>
          <w:szCs w:val="24"/>
          <w:lang w:val="en-GB"/>
        </w:rPr>
        <w:t xml:space="preserve"> </w:t>
      </w:r>
    </w:p>
    <w:p w14:paraId="268E3082" w14:textId="57CA4573" w:rsidR="00C71D58" w:rsidRPr="00A57D0F" w:rsidRDefault="00C71D58" w:rsidP="00C71D58">
      <w:pPr>
        <w:pStyle w:val="Bullet2"/>
        <w:numPr>
          <w:ilvl w:val="0"/>
          <w:numId w:val="0"/>
        </w:numPr>
        <w:spacing w:after="0"/>
        <w:ind w:left="567" w:right="301"/>
        <w:rPr>
          <w:rFonts w:cs="Arial"/>
          <w:color w:val="000000" w:themeColor="text1"/>
          <w:sz w:val="24"/>
          <w:szCs w:val="24"/>
          <w:lang w:val="en-GB"/>
        </w:rPr>
      </w:pPr>
    </w:p>
    <w:p w14:paraId="6F9593EF" w14:textId="77777777" w:rsidR="00663512" w:rsidRPr="00A57D0F" w:rsidRDefault="00663512" w:rsidP="00B93F8F">
      <w:pPr>
        <w:pStyle w:val="Bullet2"/>
        <w:numPr>
          <w:ilvl w:val="0"/>
          <w:numId w:val="0"/>
        </w:numPr>
        <w:spacing w:after="0"/>
        <w:ind w:right="301"/>
        <w:rPr>
          <w:lang w:val="en-GB"/>
        </w:rPr>
      </w:pPr>
    </w:p>
    <w:p w14:paraId="585926F1" w14:textId="77777777" w:rsidR="00663512" w:rsidRPr="00A57D0F" w:rsidRDefault="00663512" w:rsidP="00880434">
      <w:pPr>
        <w:pStyle w:val="QAHeading2"/>
        <w:numPr>
          <w:ilvl w:val="1"/>
          <w:numId w:val="2"/>
        </w:numPr>
        <w:rPr>
          <w:sz w:val="24"/>
          <w:szCs w:val="24"/>
        </w:rPr>
      </w:pPr>
      <w:bookmarkStart w:id="20" w:name="_Toc33089436"/>
      <w:bookmarkStart w:id="21" w:name="_Toc33098112"/>
      <w:r w:rsidRPr="00A57D0F">
        <w:rPr>
          <w:sz w:val="24"/>
          <w:szCs w:val="24"/>
        </w:rPr>
        <w:t>EXCLUSION CRITERIA</w:t>
      </w:r>
      <w:bookmarkEnd w:id="20"/>
      <w:bookmarkEnd w:id="21"/>
    </w:p>
    <w:p w14:paraId="07B7B13A" w14:textId="77777777" w:rsidR="00994FD5" w:rsidRPr="00A57D0F" w:rsidRDefault="00994FD5" w:rsidP="00994FD5">
      <w:pPr>
        <w:tabs>
          <w:tab w:val="left" w:pos="9639"/>
          <w:tab w:val="left" w:pos="9781"/>
          <w:tab w:val="left" w:pos="10065"/>
        </w:tabs>
        <w:ind w:right="301"/>
        <w:rPr>
          <w:rFonts w:cs="Arial"/>
        </w:rPr>
      </w:pPr>
    </w:p>
    <w:p w14:paraId="18880FE9" w14:textId="7C4F4284" w:rsidR="00994FD5" w:rsidRPr="00A57D0F" w:rsidRDefault="00994FD5" w:rsidP="00100304">
      <w:pPr>
        <w:tabs>
          <w:tab w:val="left" w:pos="9639"/>
          <w:tab w:val="left" w:pos="9781"/>
          <w:tab w:val="left" w:pos="10065"/>
        </w:tabs>
        <w:jc w:val="both"/>
        <w:rPr>
          <w:rFonts w:cs="Arial"/>
        </w:rPr>
      </w:pPr>
      <w:r w:rsidRPr="00A57D0F">
        <w:rPr>
          <w:rFonts w:cs="Arial"/>
        </w:rPr>
        <w:lastRenderedPageBreak/>
        <w:t>Patients will be excluded from being offered treatment using the STAR pathway (with reasons carefully documented) if there is:</w:t>
      </w:r>
    </w:p>
    <w:p w14:paraId="36D71CA9" w14:textId="77777777" w:rsidR="00994FD5" w:rsidRPr="00A57D0F" w:rsidRDefault="00994FD5" w:rsidP="004979BB">
      <w:pPr>
        <w:tabs>
          <w:tab w:val="left" w:pos="9639"/>
          <w:tab w:val="left" w:pos="9781"/>
          <w:tab w:val="left" w:pos="10065"/>
        </w:tabs>
        <w:ind w:left="567" w:right="301"/>
        <w:jc w:val="both"/>
        <w:rPr>
          <w:rFonts w:cs="Arial"/>
        </w:rPr>
      </w:pPr>
    </w:p>
    <w:p w14:paraId="75735004" w14:textId="45E894D0" w:rsidR="00994FD5" w:rsidRPr="00A57D0F" w:rsidRDefault="00994FD5" w:rsidP="00100304">
      <w:pPr>
        <w:pStyle w:val="ListParagraph"/>
        <w:numPr>
          <w:ilvl w:val="0"/>
          <w:numId w:val="13"/>
        </w:numPr>
        <w:tabs>
          <w:tab w:val="left" w:pos="9639"/>
          <w:tab w:val="left" w:pos="9781"/>
          <w:tab w:val="left" w:pos="10065"/>
        </w:tabs>
        <w:ind w:left="567"/>
        <w:contextualSpacing w:val="0"/>
        <w:jc w:val="both"/>
        <w:rPr>
          <w:rFonts w:cs="Arial"/>
        </w:rPr>
      </w:pPr>
      <w:r w:rsidRPr="00A57D0F">
        <w:rPr>
          <w:rFonts w:cs="Arial"/>
        </w:rPr>
        <w:t>Significant cardiac disease defined as one or more major predictors of increased perioperative cardiovascular risk according to the American College of Cardiology Cardiac Risk Classification (</w:t>
      </w:r>
      <w:r w:rsidR="00B50992" w:rsidRPr="00A57D0F">
        <w:rPr>
          <w:rFonts w:cs="Arial"/>
        </w:rPr>
        <w:t>Appendix 3</w:t>
      </w:r>
      <w:r w:rsidRPr="00A57D0F">
        <w:rPr>
          <w:rFonts w:cs="Arial"/>
        </w:rPr>
        <w:t>), which remain untreated at the time of surgery</w:t>
      </w:r>
      <w:r w:rsidR="00D03ACF" w:rsidRPr="00A57D0F">
        <w:rPr>
          <w:rFonts w:cs="Arial"/>
        </w:rPr>
        <w:t>.</w:t>
      </w:r>
    </w:p>
    <w:p w14:paraId="63D19460" w14:textId="7FAA5E17" w:rsidR="00994FD5" w:rsidRPr="00A57D0F" w:rsidRDefault="00994FD5" w:rsidP="00100304">
      <w:pPr>
        <w:pStyle w:val="ListParagraph"/>
        <w:numPr>
          <w:ilvl w:val="0"/>
          <w:numId w:val="13"/>
        </w:numPr>
        <w:tabs>
          <w:tab w:val="left" w:pos="9639"/>
          <w:tab w:val="left" w:pos="9781"/>
          <w:tab w:val="left" w:pos="10065"/>
        </w:tabs>
        <w:ind w:left="567"/>
        <w:contextualSpacing w:val="0"/>
        <w:jc w:val="both"/>
        <w:rPr>
          <w:rFonts w:cs="Arial"/>
          <w:color w:val="000000" w:themeColor="text1"/>
        </w:rPr>
      </w:pPr>
      <w:r w:rsidRPr="00A57D0F">
        <w:rPr>
          <w:rFonts w:cs="Arial"/>
        </w:rPr>
        <w:t>Significant renal failure (pre-operative creatinine level of over 150</w:t>
      </w:r>
      <w:r w:rsidRPr="00A57D0F">
        <w:rPr>
          <w:rFonts w:cs="Arial"/>
          <w:color w:val="000000"/>
        </w:rPr>
        <w:t xml:space="preserve"> </w:t>
      </w:r>
      <w:proofErr w:type="spellStart"/>
      <w:r w:rsidRPr="00A57D0F">
        <w:rPr>
          <w:rFonts w:cs="Arial"/>
          <w:color w:val="000000"/>
        </w:rPr>
        <w:t>μmol</w:t>
      </w:r>
      <w:proofErr w:type="spellEnd"/>
      <w:r w:rsidRPr="00A57D0F">
        <w:rPr>
          <w:rFonts w:cs="Arial"/>
          <w:color w:val="000000"/>
        </w:rPr>
        <w:t>/L</w:t>
      </w:r>
      <w:r w:rsidRPr="00A57D0F">
        <w:rPr>
          <w:rFonts w:cs="Arial"/>
        </w:rPr>
        <w:t xml:space="preserve"> or GFR less than 30m</w:t>
      </w:r>
      <w:r w:rsidRPr="00A57D0F">
        <w:rPr>
          <w:rFonts w:cs="Arial"/>
          <w:color w:val="000000" w:themeColor="text1"/>
        </w:rPr>
        <w:t>L/min/1.73m</w:t>
      </w:r>
      <w:r w:rsidRPr="00A57D0F">
        <w:rPr>
          <w:rFonts w:cs="Arial"/>
          <w:color w:val="000000" w:themeColor="text1"/>
          <w:vertAlign w:val="superscript"/>
        </w:rPr>
        <w:t xml:space="preserve">2 </w:t>
      </w:r>
      <w:r w:rsidRPr="00A57D0F">
        <w:rPr>
          <w:rFonts w:cs="Arial"/>
          <w:color w:val="000000" w:themeColor="text1"/>
        </w:rPr>
        <w:t>indicating severe chronic kidney disease (stage IV)</w:t>
      </w:r>
      <w:r w:rsidR="00D03ACF" w:rsidRPr="00A57D0F">
        <w:rPr>
          <w:rFonts w:cs="Arial"/>
          <w:color w:val="000000" w:themeColor="text1"/>
        </w:rPr>
        <w:t>.</w:t>
      </w:r>
    </w:p>
    <w:p w14:paraId="7A360881" w14:textId="2B7488F7" w:rsidR="00994FD5" w:rsidRPr="00A57D0F" w:rsidRDefault="00994FD5" w:rsidP="00100304">
      <w:pPr>
        <w:pStyle w:val="ListParagraph"/>
        <w:numPr>
          <w:ilvl w:val="0"/>
          <w:numId w:val="13"/>
        </w:numPr>
        <w:tabs>
          <w:tab w:val="left" w:pos="9639"/>
          <w:tab w:val="left" w:pos="9781"/>
          <w:tab w:val="left" w:pos="10065"/>
        </w:tabs>
        <w:ind w:left="567"/>
        <w:contextualSpacing w:val="0"/>
        <w:jc w:val="both"/>
        <w:rPr>
          <w:rFonts w:cs="Arial"/>
          <w:color w:val="000000" w:themeColor="text1"/>
        </w:rPr>
      </w:pPr>
      <w:r w:rsidRPr="00A57D0F">
        <w:rPr>
          <w:rFonts w:cs="Arial"/>
          <w:color w:val="000000" w:themeColor="text1"/>
        </w:rPr>
        <w:t xml:space="preserve">Significant respiratory disease needing increased post-operative care not available in </w:t>
      </w:r>
      <w:r w:rsidR="00D03ACF" w:rsidRPr="00A57D0F">
        <w:rPr>
          <w:rFonts w:cs="Arial"/>
          <w:color w:val="000000" w:themeColor="text1"/>
        </w:rPr>
        <w:t xml:space="preserve">the </w:t>
      </w:r>
      <w:r w:rsidRPr="00A57D0F">
        <w:rPr>
          <w:rFonts w:cs="Arial"/>
          <w:color w:val="000000" w:themeColor="text1"/>
        </w:rPr>
        <w:t>home environment (</w:t>
      </w:r>
      <w:r w:rsidR="00D03ACF" w:rsidRPr="00A57D0F">
        <w:rPr>
          <w:rFonts w:cs="Arial"/>
          <w:color w:val="000000" w:themeColor="text1"/>
        </w:rPr>
        <w:t>e.g.,</w:t>
      </w:r>
      <w:r w:rsidRPr="00A57D0F">
        <w:rPr>
          <w:rFonts w:cs="Arial"/>
          <w:color w:val="000000" w:themeColor="text1"/>
        </w:rPr>
        <w:t xml:space="preserve"> nebulisers or oxygen therapy which is not set-up at home).</w:t>
      </w:r>
    </w:p>
    <w:p w14:paraId="3FA17CB4" w14:textId="2222E1FE" w:rsidR="00CA3919" w:rsidRDefault="001D6736" w:rsidP="00100304">
      <w:pPr>
        <w:pStyle w:val="ListParagraph"/>
        <w:numPr>
          <w:ilvl w:val="0"/>
          <w:numId w:val="13"/>
        </w:numPr>
        <w:tabs>
          <w:tab w:val="left" w:pos="9639"/>
          <w:tab w:val="left" w:pos="9781"/>
          <w:tab w:val="left" w:pos="10065"/>
        </w:tabs>
        <w:ind w:left="567"/>
        <w:contextualSpacing w:val="0"/>
        <w:jc w:val="both"/>
        <w:rPr>
          <w:rFonts w:cs="Arial"/>
          <w:color w:val="000000" w:themeColor="text1"/>
        </w:rPr>
      </w:pPr>
      <w:r w:rsidRPr="00A57D0F">
        <w:rPr>
          <w:rFonts w:cs="Arial"/>
          <w:color w:val="000000" w:themeColor="text1"/>
        </w:rPr>
        <w:t>Any other condition, which in the opinion of the multidisciplinary team makes discharge within 23-hours unsafe.</w:t>
      </w:r>
    </w:p>
    <w:p w14:paraId="2F449D99" w14:textId="1BA16CEC" w:rsidR="0066223C" w:rsidRPr="00A57D0F" w:rsidRDefault="0066223C" w:rsidP="00100304">
      <w:pPr>
        <w:pStyle w:val="ListParagraph"/>
        <w:numPr>
          <w:ilvl w:val="0"/>
          <w:numId w:val="13"/>
        </w:numPr>
        <w:tabs>
          <w:tab w:val="left" w:pos="9639"/>
          <w:tab w:val="left" w:pos="9781"/>
          <w:tab w:val="left" w:pos="10065"/>
        </w:tabs>
        <w:ind w:left="567"/>
        <w:contextualSpacing w:val="0"/>
        <w:jc w:val="both"/>
        <w:rPr>
          <w:rFonts w:cs="Arial"/>
          <w:color w:val="000000" w:themeColor="text1"/>
        </w:rPr>
      </w:pPr>
      <w:r>
        <w:rPr>
          <w:rFonts w:cs="Arial"/>
          <w:color w:val="000000" w:themeColor="text1"/>
        </w:rPr>
        <w:t>Patients who lack capacity to consent to 23-hour EVAR will be excluded from the study.</w:t>
      </w:r>
    </w:p>
    <w:p w14:paraId="05F130B5" w14:textId="34AD6B6C" w:rsidR="00994FD5" w:rsidRPr="00CA3919" w:rsidRDefault="00994FD5" w:rsidP="00CA3919">
      <w:pPr>
        <w:pStyle w:val="ListParagraph"/>
        <w:numPr>
          <w:ilvl w:val="0"/>
          <w:numId w:val="13"/>
        </w:numPr>
        <w:tabs>
          <w:tab w:val="left" w:pos="9639"/>
          <w:tab w:val="left" w:pos="9781"/>
          <w:tab w:val="left" w:pos="10065"/>
        </w:tabs>
        <w:ind w:left="567"/>
        <w:contextualSpacing w:val="0"/>
        <w:jc w:val="both"/>
        <w:rPr>
          <w:rFonts w:ascii="Times New Roman" w:hAnsi="Times New Roman"/>
          <w:lang w:eastAsia="en-GB"/>
        </w:rPr>
      </w:pPr>
      <w:r w:rsidRPr="00CA3919">
        <w:rPr>
          <w:rFonts w:cs="Arial"/>
          <w:color w:val="000000" w:themeColor="text1"/>
        </w:rPr>
        <w:t>There is concurrent enrolment in another drug or medical device study</w:t>
      </w:r>
      <w:r w:rsidR="00CA3919" w:rsidRPr="00CA3919">
        <w:rPr>
          <w:rFonts w:cs="Arial"/>
          <w:color w:val="000000" w:themeColor="text1"/>
        </w:rPr>
        <w:t xml:space="preserve"> </w:t>
      </w:r>
      <w:r w:rsidR="00CA3919">
        <w:rPr>
          <w:rFonts w:cs="Arial"/>
          <w:color w:val="000000" w:themeColor="text1"/>
        </w:rPr>
        <w:t xml:space="preserve">or </w:t>
      </w:r>
      <w:r w:rsidR="00CA3919" w:rsidRPr="00CA3919">
        <w:rPr>
          <w:rFonts w:cs="Arial"/>
          <w:color w:val="000000" w:themeColor="text1"/>
        </w:rPr>
        <w:t>have recently been involved in any research prior to recruitment</w:t>
      </w:r>
    </w:p>
    <w:p w14:paraId="6BB75371" w14:textId="74326FDD" w:rsidR="00B5057B" w:rsidRPr="007B3B90" w:rsidRDefault="00B5057B">
      <w:pPr>
        <w:rPr>
          <w:rFonts w:cs="Arial"/>
        </w:rPr>
      </w:pPr>
    </w:p>
    <w:p w14:paraId="4BC4462B" w14:textId="77777777" w:rsidR="00663512" w:rsidRPr="007B3B90" w:rsidRDefault="00663512" w:rsidP="0042141D">
      <w:pPr>
        <w:pStyle w:val="Heading2"/>
      </w:pPr>
    </w:p>
    <w:p w14:paraId="43C4C78C" w14:textId="77777777" w:rsidR="00663512" w:rsidRPr="007B3B90" w:rsidRDefault="00D057F1" w:rsidP="00880434">
      <w:pPr>
        <w:pStyle w:val="QAHeading2"/>
        <w:numPr>
          <w:ilvl w:val="1"/>
          <w:numId w:val="2"/>
        </w:numPr>
        <w:rPr>
          <w:sz w:val="24"/>
          <w:szCs w:val="24"/>
        </w:rPr>
      </w:pPr>
      <w:bookmarkStart w:id="22" w:name="_Toc33098113"/>
      <w:bookmarkStart w:id="23" w:name="_Toc33089437"/>
      <w:r w:rsidRPr="007B3B90">
        <w:rPr>
          <w:sz w:val="24"/>
          <w:szCs w:val="24"/>
        </w:rPr>
        <w:t>WITHDRAWAL CRITERIA</w:t>
      </w:r>
      <w:bookmarkEnd w:id="22"/>
      <w:r w:rsidRPr="007B3B90">
        <w:rPr>
          <w:sz w:val="24"/>
          <w:szCs w:val="24"/>
        </w:rPr>
        <w:t xml:space="preserve"> </w:t>
      </w:r>
      <w:bookmarkEnd w:id="23"/>
    </w:p>
    <w:p w14:paraId="4BD6B6C2" w14:textId="77777777" w:rsidR="004979BB" w:rsidRPr="007B3B90" w:rsidRDefault="004979BB" w:rsidP="004979BB">
      <w:pPr>
        <w:pStyle w:val="Heading1"/>
        <w:numPr>
          <w:ilvl w:val="0"/>
          <w:numId w:val="0"/>
        </w:numPr>
        <w:ind w:left="360"/>
        <w:rPr>
          <w:b w:val="0"/>
          <w:bCs w:val="0"/>
          <w:caps w:val="0"/>
          <w:sz w:val="24"/>
          <w:lang w:eastAsia="en-US"/>
        </w:rPr>
      </w:pPr>
    </w:p>
    <w:p w14:paraId="1A107167" w14:textId="0C692E46" w:rsidR="004979BB" w:rsidRPr="007B3B90" w:rsidRDefault="004979BB" w:rsidP="0095568B">
      <w:pPr>
        <w:pStyle w:val="Heading1"/>
        <w:numPr>
          <w:ilvl w:val="0"/>
          <w:numId w:val="0"/>
        </w:numPr>
        <w:rPr>
          <w:color w:val="000000" w:themeColor="text1"/>
          <w:sz w:val="24"/>
        </w:rPr>
      </w:pPr>
      <w:r w:rsidRPr="007B3B90">
        <w:rPr>
          <w:b w:val="0"/>
          <w:bCs w:val="0"/>
          <w:caps w:val="0"/>
          <w:sz w:val="24"/>
          <w:lang w:eastAsia="en-US"/>
        </w:rPr>
        <w:t>The patient will remain free to withdraw at any time from the protocol treatment and study follow-up without giving reasons and without prejudicing their future care and should notify the Investigator in this event – these patients will be treated from this time as patients that are undergoing standard EVAR. The Investigator may also withdraw the</w:t>
      </w:r>
      <w:r w:rsidR="00F76F6D">
        <w:rPr>
          <w:b w:val="0"/>
          <w:bCs w:val="0"/>
          <w:caps w:val="0"/>
          <w:sz w:val="24"/>
          <w:lang w:eastAsia="en-US"/>
        </w:rPr>
        <w:t xml:space="preserve"> p</w:t>
      </w:r>
      <w:r w:rsidR="005756C3">
        <w:rPr>
          <w:b w:val="0"/>
          <w:bCs w:val="0"/>
          <w:caps w:val="0"/>
          <w:sz w:val="24"/>
          <w:lang w:eastAsia="en-US"/>
        </w:rPr>
        <w:t>a</w:t>
      </w:r>
      <w:r w:rsidR="00F76F6D">
        <w:rPr>
          <w:b w:val="0"/>
          <w:bCs w:val="0"/>
          <w:caps w:val="0"/>
          <w:sz w:val="24"/>
          <w:lang w:eastAsia="en-US"/>
        </w:rPr>
        <w:t>rticip</w:t>
      </w:r>
      <w:r w:rsidR="005756C3">
        <w:rPr>
          <w:b w:val="0"/>
          <w:bCs w:val="0"/>
          <w:caps w:val="0"/>
          <w:sz w:val="24"/>
          <w:lang w:eastAsia="en-US"/>
        </w:rPr>
        <w:t>a</w:t>
      </w:r>
      <w:r w:rsidR="00F76F6D">
        <w:rPr>
          <w:b w:val="0"/>
          <w:bCs w:val="0"/>
          <w:caps w:val="0"/>
          <w:sz w:val="24"/>
          <w:lang w:eastAsia="en-US"/>
        </w:rPr>
        <w:t xml:space="preserve">nt </w:t>
      </w:r>
      <w:r w:rsidR="005756C3">
        <w:rPr>
          <w:b w:val="0"/>
          <w:bCs w:val="0"/>
          <w:caps w:val="0"/>
          <w:sz w:val="24"/>
          <w:lang w:eastAsia="en-US"/>
        </w:rPr>
        <w:t xml:space="preserve">from </w:t>
      </w:r>
      <w:r w:rsidRPr="007B3B90">
        <w:rPr>
          <w:b w:val="0"/>
          <w:bCs w:val="0"/>
          <w:caps w:val="0"/>
          <w:sz w:val="24"/>
          <w:lang w:eastAsia="en-US"/>
        </w:rPr>
        <w:t>the study at any time based on his / her medical judgment.</w:t>
      </w:r>
      <w:r w:rsidRPr="007B3B90">
        <w:rPr>
          <w:color w:val="000000" w:themeColor="text1"/>
          <w:sz w:val="24"/>
        </w:rPr>
        <w:t xml:space="preserve"> </w:t>
      </w:r>
    </w:p>
    <w:p w14:paraId="70F60BF7" w14:textId="77777777" w:rsidR="00663512" w:rsidRPr="007B3B90" w:rsidRDefault="00663512" w:rsidP="00663512"/>
    <w:p w14:paraId="2A35F11A" w14:textId="77777777" w:rsidR="00663512" w:rsidRPr="007B3B90" w:rsidRDefault="00663512" w:rsidP="00663512"/>
    <w:p w14:paraId="726F3B59" w14:textId="77777777" w:rsidR="00663512" w:rsidRPr="007B3B90" w:rsidRDefault="00BE7282" w:rsidP="00D057F1">
      <w:pPr>
        <w:pStyle w:val="Heading1"/>
      </w:pPr>
      <w:bookmarkStart w:id="24" w:name="_Toc33098114"/>
      <w:bookmarkStart w:id="25" w:name="_Toc33089438"/>
      <w:r w:rsidRPr="007B3B90">
        <w:t>ADVERSE EVENTS</w:t>
      </w:r>
      <w:bookmarkEnd w:id="24"/>
      <w:r w:rsidRPr="007B3B90">
        <w:t xml:space="preserve"> </w:t>
      </w:r>
      <w:bookmarkEnd w:id="25"/>
    </w:p>
    <w:p w14:paraId="3044BB6C" w14:textId="77777777" w:rsidR="00663512" w:rsidRPr="007B3B90" w:rsidRDefault="00663512" w:rsidP="00663512"/>
    <w:p w14:paraId="57D6DBE6" w14:textId="3516BC9C" w:rsidR="00663512" w:rsidRPr="007B3B90" w:rsidRDefault="00D057F1" w:rsidP="00880434">
      <w:pPr>
        <w:pStyle w:val="QAHeading2"/>
        <w:numPr>
          <w:ilvl w:val="1"/>
          <w:numId w:val="2"/>
        </w:numPr>
        <w:rPr>
          <w:sz w:val="24"/>
          <w:szCs w:val="24"/>
        </w:rPr>
      </w:pPr>
      <w:bookmarkStart w:id="26" w:name="_Toc33098115"/>
      <w:bookmarkStart w:id="27" w:name="_Toc33089439"/>
      <w:r w:rsidRPr="007B3B90">
        <w:rPr>
          <w:sz w:val="24"/>
          <w:szCs w:val="24"/>
        </w:rPr>
        <w:t>DEFINITIONS</w:t>
      </w:r>
      <w:bookmarkEnd w:id="26"/>
      <w:r w:rsidRPr="007B3B90">
        <w:rPr>
          <w:sz w:val="24"/>
          <w:szCs w:val="24"/>
        </w:rPr>
        <w:t xml:space="preserve"> </w:t>
      </w:r>
      <w:bookmarkEnd w:id="27"/>
    </w:p>
    <w:p w14:paraId="444E84DD" w14:textId="77777777" w:rsidR="0082031C" w:rsidRPr="007B3B90" w:rsidRDefault="0082031C" w:rsidP="0082031C">
      <w:pPr>
        <w:pStyle w:val="QAHeading2"/>
        <w:ind w:left="1440"/>
        <w:rPr>
          <w:sz w:val="24"/>
          <w:szCs w:val="24"/>
        </w:rPr>
      </w:pPr>
    </w:p>
    <w:p w14:paraId="68BEF333" w14:textId="77777777" w:rsidR="00663512" w:rsidRPr="007B3B90" w:rsidRDefault="00663512" w:rsidP="00AB0314">
      <w:pPr>
        <w:pStyle w:val="Normal1"/>
        <w:jc w:val="both"/>
        <w:rPr>
          <w:rFonts w:cs="Arial"/>
          <w:i/>
          <w:iCs/>
          <w:szCs w:val="24"/>
          <w:lang w:val="en-GB"/>
        </w:rPr>
      </w:pPr>
      <w:r w:rsidRPr="007B3B90">
        <w:rPr>
          <w:rFonts w:cs="Arial"/>
          <w:b/>
          <w:szCs w:val="24"/>
          <w:lang w:val="en-GB"/>
        </w:rPr>
        <w:t>Adverse Event (AE):</w:t>
      </w:r>
      <w:r w:rsidRPr="007B3B90">
        <w:rPr>
          <w:rFonts w:cs="Arial"/>
          <w:szCs w:val="24"/>
          <w:lang w:val="en-GB"/>
        </w:rPr>
        <w:t xml:space="preserve"> any untoward medical occurrence in a patient or clinical study </w:t>
      </w:r>
      <w:r w:rsidRPr="008351F1">
        <w:rPr>
          <w:rFonts w:cs="Arial"/>
          <w:szCs w:val="24"/>
          <w:lang w:val="en-GB"/>
        </w:rPr>
        <w:t>subject.</w:t>
      </w:r>
      <w:r w:rsidRPr="007B3B90">
        <w:rPr>
          <w:rFonts w:cs="Arial"/>
          <w:szCs w:val="24"/>
          <w:lang w:val="en-GB"/>
        </w:rPr>
        <w:t xml:space="preserve">  </w:t>
      </w:r>
    </w:p>
    <w:p w14:paraId="0084D3E8" w14:textId="77777777" w:rsidR="00663512" w:rsidRPr="007B3B90" w:rsidRDefault="00663512" w:rsidP="00AB0314">
      <w:pPr>
        <w:pStyle w:val="Normal1"/>
        <w:jc w:val="both"/>
        <w:rPr>
          <w:rFonts w:cs="Arial"/>
          <w:i/>
          <w:iCs/>
          <w:szCs w:val="24"/>
          <w:lang w:val="en-GB"/>
        </w:rPr>
      </w:pPr>
    </w:p>
    <w:p w14:paraId="02C21FBC" w14:textId="77777777" w:rsidR="00663512" w:rsidRPr="007B3B90" w:rsidRDefault="00663512" w:rsidP="00AB0314">
      <w:pPr>
        <w:pStyle w:val="Normal1"/>
        <w:jc w:val="both"/>
        <w:rPr>
          <w:rFonts w:cs="Arial"/>
          <w:szCs w:val="24"/>
          <w:lang w:val="en-GB"/>
        </w:rPr>
      </w:pPr>
      <w:r w:rsidRPr="007B3B90">
        <w:rPr>
          <w:rFonts w:cs="Arial"/>
          <w:b/>
          <w:szCs w:val="24"/>
          <w:lang w:val="en-GB"/>
        </w:rPr>
        <w:t>Serious Adverse Event</w:t>
      </w:r>
      <w:r w:rsidRPr="007B3B90">
        <w:rPr>
          <w:rFonts w:cs="Arial"/>
          <w:szCs w:val="24"/>
          <w:lang w:val="en-GB"/>
        </w:rPr>
        <w:t xml:space="preserve"> </w:t>
      </w:r>
      <w:r w:rsidRPr="007B3B90">
        <w:rPr>
          <w:rFonts w:cs="Arial"/>
          <w:b/>
          <w:bCs/>
          <w:szCs w:val="24"/>
          <w:lang w:val="en-GB"/>
        </w:rPr>
        <w:t>(SAE):</w:t>
      </w:r>
      <w:r w:rsidRPr="007B3B90">
        <w:rPr>
          <w:rFonts w:cs="Arial"/>
          <w:szCs w:val="24"/>
          <w:lang w:val="en-GB"/>
        </w:rPr>
        <w:t xml:space="preserve"> any untoward and unexpected medical occurrence or effect that:</w:t>
      </w:r>
    </w:p>
    <w:p w14:paraId="6C482877" w14:textId="77777777" w:rsidR="00663512" w:rsidRPr="007B3B90" w:rsidRDefault="00663512" w:rsidP="00AB0314">
      <w:pPr>
        <w:pStyle w:val="Normal1"/>
        <w:numPr>
          <w:ilvl w:val="0"/>
          <w:numId w:val="3"/>
        </w:numPr>
        <w:tabs>
          <w:tab w:val="clear" w:pos="360"/>
          <w:tab w:val="num" w:pos="1260"/>
        </w:tabs>
        <w:ind w:left="1260"/>
        <w:jc w:val="both"/>
        <w:rPr>
          <w:rFonts w:cs="Arial"/>
          <w:b/>
          <w:bCs/>
          <w:szCs w:val="24"/>
          <w:lang w:val="en-GB"/>
        </w:rPr>
      </w:pPr>
      <w:r w:rsidRPr="007B3B90">
        <w:rPr>
          <w:rFonts w:cs="Arial"/>
          <w:b/>
          <w:bCs/>
          <w:szCs w:val="24"/>
          <w:lang w:val="en-GB"/>
        </w:rPr>
        <w:t>Results in death</w:t>
      </w:r>
    </w:p>
    <w:p w14:paraId="2A7E9D49" w14:textId="531C9066" w:rsidR="00663512" w:rsidRPr="00D03ACF" w:rsidRDefault="00663512" w:rsidP="00D03ACF">
      <w:pPr>
        <w:pStyle w:val="Normal1"/>
        <w:numPr>
          <w:ilvl w:val="0"/>
          <w:numId w:val="3"/>
        </w:numPr>
        <w:tabs>
          <w:tab w:val="clear" w:pos="360"/>
          <w:tab w:val="num" w:pos="1260"/>
        </w:tabs>
        <w:ind w:left="1260"/>
        <w:jc w:val="both"/>
        <w:rPr>
          <w:rFonts w:cs="Arial"/>
          <w:i/>
          <w:iCs/>
          <w:szCs w:val="24"/>
          <w:lang w:val="en-GB"/>
        </w:rPr>
      </w:pPr>
      <w:r w:rsidRPr="007B3B90">
        <w:rPr>
          <w:rFonts w:cs="Arial"/>
          <w:b/>
          <w:bCs/>
          <w:szCs w:val="24"/>
          <w:lang w:val="en-GB"/>
        </w:rPr>
        <w:t>Is life-threatening</w:t>
      </w:r>
      <w:r w:rsidRPr="007B3B90">
        <w:rPr>
          <w:rFonts w:cs="Arial"/>
          <w:szCs w:val="24"/>
          <w:lang w:val="en-GB"/>
        </w:rPr>
        <w:t xml:space="preserve"> – </w:t>
      </w:r>
      <w:r w:rsidRPr="007B3B90">
        <w:rPr>
          <w:rFonts w:cs="Arial"/>
          <w:i/>
          <w:iCs/>
          <w:szCs w:val="24"/>
          <w:lang w:val="en-GB"/>
        </w:rPr>
        <w:t>refers to an event in which the subject was at risk of death at the time of the event; it does not refer to an event which hypothetically might have caused death if it were more severe</w:t>
      </w:r>
      <w:r w:rsidR="00E42B56">
        <w:rPr>
          <w:rFonts w:cs="Arial"/>
          <w:i/>
          <w:iCs/>
          <w:szCs w:val="24"/>
          <w:lang w:val="en-GB"/>
        </w:rPr>
        <w:t>.</w:t>
      </w:r>
    </w:p>
    <w:p w14:paraId="5664BE9A" w14:textId="1B6892CD" w:rsidR="00663512" w:rsidRPr="007B3B90" w:rsidRDefault="00663512" w:rsidP="00880434">
      <w:pPr>
        <w:pStyle w:val="Normal1"/>
        <w:numPr>
          <w:ilvl w:val="0"/>
          <w:numId w:val="3"/>
        </w:numPr>
        <w:tabs>
          <w:tab w:val="clear" w:pos="360"/>
          <w:tab w:val="num" w:pos="1260"/>
        </w:tabs>
        <w:ind w:left="1260"/>
        <w:jc w:val="both"/>
        <w:rPr>
          <w:rFonts w:cs="Arial"/>
          <w:b/>
          <w:bCs/>
          <w:szCs w:val="24"/>
          <w:lang w:val="en-GB"/>
        </w:rPr>
      </w:pPr>
      <w:r w:rsidRPr="007B3B90">
        <w:rPr>
          <w:rFonts w:cs="Arial"/>
          <w:b/>
          <w:bCs/>
          <w:szCs w:val="24"/>
          <w:lang w:val="en-GB"/>
        </w:rPr>
        <w:t>Requires hospitalisation, or prolongation of existing inpatient</w:t>
      </w:r>
      <w:r w:rsidR="00E879F2" w:rsidRPr="007B3B90">
        <w:rPr>
          <w:rFonts w:cs="Arial"/>
          <w:b/>
          <w:bCs/>
          <w:szCs w:val="24"/>
          <w:lang w:val="en-GB"/>
        </w:rPr>
        <w:t>’</w:t>
      </w:r>
      <w:r w:rsidRPr="007B3B90">
        <w:rPr>
          <w:rFonts w:cs="Arial"/>
          <w:b/>
          <w:bCs/>
          <w:szCs w:val="24"/>
          <w:lang w:val="en-GB"/>
        </w:rPr>
        <w:t>s hospitalisation</w:t>
      </w:r>
    </w:p>
    <w:p w14:paraId="71F105EA" w14:textId="2CC7B6D5" w:rsidR="00663512" w:rsidRDefault="00663512" w:rsidP="00880434">
      <w:pPr>
        <w:pStyle w:val="Normal1"/>
        <w:numPr>
          <w:ilvl w:val="0"/>
          <w:numId w:val="3"/>
        </w:numPr>
        <w:tabs>
          <w:tab w:val="clear" w:pos="360"/>
          <w:tab w:val="num" w:pos="1260"/>
        </w:tabs>
        <w:ind w:left="1260"/>
        <w:jc w:val="both"/>
        <w:rPr>
          <w:rFonts w:cs="Arial"/>
          <w:b/>
          <w:bCs/>
          <w:szCs w:val="24"/>
          <w:lang w:val="en-GB"/>
        </w:rPr>
      </w:pPr>
      <w:r w:rsidRPr="007B3B90">
        <w:rPr>
          <w:rFonts w:cs="Arial"/>
          <w:b/>
          <w:bCs/>
          <w:szCs w:val="24"/>
          <w:lang w:val="en-GB"/>
        </w:rPr>
        <w:t>Results in persistent or significant disability or incapacity</w:t>
      </w:r>
    </w:p>
    <w:p w14:paraId="04BDC34D" w14:textId="1B181CF5" w:rsidR="00A57D0F" w:rsidRPr="00470E86" w:rsidRDefault="00A57D0F" w:rsidP="00A57D0F">
      <w:pPr>
        <w:pStyle w:val="Normal1"/>
        <w:numPr>
          <w:ilvl w:val="0"/>
          <w:numId w:val="3"/>
        </w:numPr>
        <w:tabs>
          <w:tab w:val="clear" w:pos="360"/>
          <w:tab w:val="num" w:pos="1260"/>
        </w:tabs>
        <w:ind w:left="1260"/>
        <w:jc w:val="both"/>
        <w:rPr>
          <w:rFonts w:cs="Arial"/>
          <w:b/>
          <w:bCs/>
          <w:szCs w:val="24"/>
          <w:lang w:val="en-GB"/>
        </w:rPr>
      </w:pPr>
      <w:r w:rsidRPr="00470E86">
        <w:rPr>
          <w:rFonts w:cs="Arial"/>
          <w:b/>
          <w:bCs/>
          <w:szCs w:val="24"/>
          <w:lang w:val="en-GB"/>
        </w:rPr>
        <w:lastRenderedPageBreak/>
        <w:t>Is a congenital anomaly or birth defect</w:t>
      </w:r>
    </w:p>
    <w:p w14:paraId="3E86743B" w14:textId="77777777" w:rsidR="00663512" w:rsidRPr="007B3B90" w:rsidRDefault="00663512" w:rsidP="00663512">
      <w:pPr>
        <w:pStyle w:val="Normal1"/>
        <w:jc w:val="both"/>
        <w:rPr>
          <w:rFonts w:cs="Arial"/>
          <w:bCs/>
          <w:szCs w:val="24"/>
          <w:lang w:val="en-GB"/>
        </w:rPr>
      </w:pPr>
    </w:p>
    <w:p w14:paraId="4725D798" w14:textId="77777777" w:rsidR="00663512" w:rsidRPr="007B3B90" w:rsidRDefault="00663512" w:rsidP="00663512">
      <w:pPr>
        <w:pStyle w:val="Normal1"/>
        <w:jc w:val="both"/>
        <w:rPr>
          <w:rFonts w:cs="Arial"/>
          <w:szCs w:val="24"/>
          <w:lang w:val="en-GB"/>
        </w:rPr>
      </w:pPr>
      <w:r w:rsidRPr="007B3B90">
        <w:rPr>
          <w:rFonts w:cs="Arial"/>
          <w:szCs w:val="24"/>
          <w:lang w:val="en-GB"/>
        </w:rPr>
        <w:t>Medical judgement should be exercised in deciding whether an AE is serious in other situations.  Important AEs that are not immediately life-threatening or do not result in death or hospitalisation but may jeopardise the subject or may require intervention to prevent one of the other outcomes listed in the definition above, should also be considered serious.</w:t>
      </w:r>
    </w:p>
    <w:p w14:paraId="11CCCC18" w14:textId="77777777" w:rsidR="00663512" w:rsidRPr="007B3B90" w:rsidRDefault="00663512" w:rsidP="00663512">
      <w:pPr>
        <w:pStyle w:val="Normal1"/>
        <w:jc w:val="both"/>
        <w:rPr>
          <w:rFonts w:cs="Arial"/>
          <w:b/>
          <w:bCs/>
          <w:szCs w:val="24"/>
          <w:highlight w:val="yellow"/>
          <w:lang w:val="en-GB"/>
        </w:rPr>
      </w:pPr>
    </w:p>
    <w:p w14:paraId="78BE8171" w14:textId="29E730A5" w:rsidR="00663512" w:rsidRPr="007B3B90" w:rsidRDefault="00D057F1" w:rsidP="00880434">
      <w:pPr>
        <w:pStyle w:val="QAHeading2"/>
        <w:numPr>
          <w:ilvl w:val="1"/>
          <w:numId w:val="2"/>
        </w:numPr>
        <w:rPr>
          <w:sz w:val="24"/>
          <w:szCs w:val="24"/>
        </w:rPr>
      </w:pPr>
      <w:bookmarkStart w:id="28" w:name="_Toc33098116"/>
      <w:bookmarkStart w:id="29" w:name="_Toc33089440"/>
      <w:r w:rsidRPr="007B3B90">
        <w:rPr>
          <w:sz w:val="24"/>
          <w:szCs w:val="24"/>
        </w:rPr>
        <w:t>REPORTING PROCEDURES</w:t>
      </w:r>
      <w:bookmarkEnd w:id="28"/>
      <w:r w:rsidRPr="007B3B90">
        <w:rPr>
          <w:sz w:val="24"/>
          <w:szCs w:val="24"/>
        </w:rPr>
        <w:t xml:space="preserve"> </w:t>
      </w:r>
      <w:bookmarkEnd w:id="29"/>
    </w:p>
    <w:p w14:paraId="2541EA62" w14:textId="77777777" w:rsidR="0082031C" w:rsidRPr="007B3B90" w:rsidRDefault="0082031C" w:rsidP="0082031C">
      <w:pPr>
        <w:pStyle w:val="QAHeading2"/>
        <w:ind w:left="1440"/>
        <w:rPr>
          <w:sz w:val="24"/>
          <w:szCs w:val="24"/>
        </w:rPr>
      </w:pPr>
    </w:p>
    <w:p w14:paraId="7C570D9F" w14:textId="77777777" w:rsidR="003F6CFD" w:rsidRPr="007B3B90" w:rsidRDefault="00663512" w:rsidP="00663512">
      <w:pPr>
        <w:pStyle w:val="Normal1"/>
        <w:jc w:val="both"/>
        <w:rPr>
          <w:rFonts w:cs="Arial"/>
          <w:bCs/>
          <w:szCs w:val="24"/>
          <w:lang w:val="en-GB"/>
        </w:rPr>
      </w:pPr>
      <w:r w:rsidRPr="007B3B90">
        <w:rPr>
          <w:rFonts w:cs="Arial"/>
          <w:szCs w:val="24"/>
          <w:lang w:val="en-GB"/>
        </w:rPr>
        <w:t xml:space="preserve">All adverse events </w:t>
      </w:r>
      <w:r w:rsidR="00ED262F" w:rsidRPr="007B3B90">
        <w:rPr>
          <w:rFonts w:cs="Arial"/>
          <w:szCs w:val="24"/>
          <w:lang w:val="en-GB"/>
        </w:rPr>
        <w:t xml:space="preserve">will </w:t>
      </w:r>
      <w:r w:rsidRPr="007B3B90">
        <w:rPr>
          <w:rFonts w:cs="Arial"/>
          <w:szCs w:val="24"/>
          <w:lang w:val="en-GB"/>
        </w:rPr>
        <w:t xml:space="preserve">be reported.  Depending on the nature of the event the reporting procedures below should be followed.  </w:t>
      </w:r>
      <w:r w:rsidRPr="007B3B90">
        <w:rPr>
          <w:rFonts w:cs="Arial"/>
          <w:bCs/>
          <w:szCs w:val="24"/>
          <w:lang w:val="en-GB"/>
        </w:rPr>
        <w:t xml:space="preserve">Any questions concerning adverse event reporting should be directed to the Chief Investigator in the first instance. </w:t>
      </w:r>
    </w:p>
    <w:p w14:paraId="27BAC95B" w14:textId="77777777" w:rsidR="003F6CFD" w:rsidRPr="007B3B90" w:rsidRDefault="003F6CFD" w:rsidP="00663512">
      <w:pPr>
        <w:pStyle w:val="Normal1"/>
        <w:jc w:val="both"/>
        <w:rPr>
          <w:rFonts w:cs="Arial"/>
          <w:szCs w:val="24"/>
          <w:lang w:val="en-GB"/>
        </w:rPr>
      </w:pPr>
    </w:p>
    <w:p w14:paraId="3F78CC41" w14:textId="0C079D4B" w:rsidR="00663512" w:rsidRPr="007B3B90" w:rsidRDefault="003F6CFD" w:rsidP="00663512">
      <w:pPr>
        <w:pStyle w:val="Normal1"/>
        <w:jc w:val="both"/>
        <w:rPr>
          <w:rFonts w:cs="Arial"/>
          <w:szCs w:val="24"/>
          <w:lang w:val="en-GB"/>
        </w:rPr>
      </w:pPr>
      <w:r w:rsidRPr="007B3B90">
        <w:rPr>
          <w:rFonts w:cs="Arial"/>
          <w:szCs w:val="24"/>
          <w:lang w:val="en-GB"/>
        </w:rPr>
        <w:t>Anticipated Adverse Events (AES) may occur as a result of treatment of an aneurysm. These would include general surgical complications and those associated with local, regional and general anaesthesia and events</w:t>
      </w:r>
      <w:r w:rsidR="00663512" w:rsidRPr="007B3B90">
        <w:rPr>
          <w:rFonts w:cs="Arial"/>
          <w:szCs w:val="24"/>
          <w:lang w:val="en-GB"/>
        </w:rPr>
        <w:t xml:space="preserve"> </w:t>
      </w:r>
      <w:r w:rsidRPr="007B3B90">
        <w:rPr>
          <w:rFonts w:cs="Arial"/>
          <w:szCs w:val="24"/>
          <w:lang w:val="en-GB"/>
        </w:rPr>
        <w:t xml:space="preserve">specific to EVAR such as bleeding, access vessel complications, </w:t>
      </w:r>
      <w:proofErr w:type="spellStart"/>
      <w:r w:rsidRPr="007B3B90">
        <w:rPr>
          <w:rFonts w:cs="Arial"/>
          <w:szCs w:val="24"/>
          <w:lang w:val="en-GB"/>
        </w:rPr>
        <w:t>endoleak</w:t>
      </w:r>
      <w:proofErr w:type="spellEnd"/>
      <w:r w:rsidRPr="007B3B90">
        <w:rPr>
          <w:rFonts w:cs="Arial"/>
          <w:szCs w:val="24"/>
          <w:lang w:val="en-GB"/>
        </w:rPr>
        <w:t xml:space="preserve"> and open conversion.</w:t>
      </w:r>
    </w:p>
    <w:p w14:paraId="5BC1AB95" w14:textId="77777777" w:rsidR="003F6CFD" w:rsidRPr="007B3B90" w:rsidRDefault="003F6CFD" w:rsidP="003F6CFD">
      <w:pPr>
        <w:pStyle w:val="Heading1"/>
        <w:numPr>
          <w:ilvl w:val="0"/>
          <w:numId w:val="0"/>
        </w:numPr>
        <w:ind w:left="567" w:right="301"/>
        <w:rPr>
          <w:b w:val="0"/>
          <w:bCs w:val="0"/>
          <w:caps w:val="0"/>
          <w:sz w:val="24"/>
          <w:lang w:eastAsia="en-US"/>
        </w:rPr>
      </w:pPr>
    </w:p>
    <w:p w14:paraId="2FE04FF7" w14:textId="77777777" w:rsidR="003F6CFD" w:rsidRPr="007B3B90" w:rsidRDefault="003F6CFD" w:rsidP="00D03ACF">
      <w:pPr>
        <w:jc w:val="both"/>
        <w:rPr>
          <w:rFonts w:cs="Arial"/>
        </w:rPr>
      </w:pPr>
      <w:r w:rsidRPr="007B3B90">
        <w:rPr>
          <w:rFonts w:cs="Arial"/>
        </w:rPr>
        <w:t xml:space="preserve">The adverse events listed below are anticipated device and procedure-related risks: </w:t>
      </w:r>
    </w:p>
    <w:p w14:paraId="4B689298" w14:textId="77777777" w:rsidR="003F6CFD" w:rsidRPr="007B3B90" w:rsidRDefault="003F6CFD" w:rsidP="003F6CFD">
      <w:pPr>
        <w:ind w:left="567" w:right="301"/>
        <w:rPr>
          <w:rFonts w:cs="Arial"/>
          <w:szCs w:val="22"/>
        </w:rPr>
      </w:pPr>
    </w:p>
    <w:tbl>
      <w:tblPr>
        <w:tblW w:w="88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3404"/>
        <w:gridCol w:w="2268"/>
      </w:tblGrid>
      <w:tr w:rsidR="003F6CFD" w:rsidRPr="007B3B90" w14:paraId="1605048F" w14:textId="77777777" w:rsidTr="00B93F8F">
        <w:trPr>
          <w:trHeight w:val="483"/>
        </w:trPr>
        <w:tc>
          <w:tcPr>
            <w:tcW w:w="8897" w:type="dxa"/>
            <w:gridSpan w:val="3"/>
            <w:shd w:val="clear" w:color="auto" w:fill="D0CECE" w:themeFill="background2" w:themeFillShade="E6"/>
            <w:vAlign w:val="center"/>
          </w:tcPr>
          <w:p w14:paraId="05CC9F39" w14:textId="3857B971" w:rsidR="003F6CFD" w:rsidRPr="007B3B90" w:rsidRDefault="003F6CFD" w:rsidP="006E54CB">
            <w:pPr>
              <w:ind w:right="301"/>
              <w:rPr>
                <w:rFonts w:cs="Arial"/>
                <w:b/>
                <w:szCs w:val="22"/>
              </w:rPr>
            </w:pPr>
            <w:r w:rsidRPr="007B3B90">
              <w:rPr>
                <w:rFonts w:cs="Arial"/>
                <w:b/>
                <w:szCs w:val="22"/>
              </w:rPr>
              <w:t>Device and Procedure Anticipated</w:t>
            </w:r>
            <w:r w:rsidRPr="007B3B90">
              <w:rPr>
                <w:rFonts w:cs="Arial"/>
                <w:szCs w:val="22"/>
              </w:rPr>
              <w:t xml:space="preserve"> </w:t>
            </w:r>
            <w:r w:rsidRPr="007B3B90">
              <w:rPr>
                <w:rFonts w:cs="Arial"/>
                <w:b/>
                <w:szCs w:val="22"/>
              </w:rPr>
              <w:t>risks</w:t>
            </w:r>
            <w:r w:rsidRPr="007B3B90">
              <w:rPr>
                <w:rFonts w:cs="Arial"/>
                <w:szCs w:val="22"/>
              </w:rPr>
              <w:t xml:space="preserve"> </w:t>
            </w:r>
          </w:p>
        </w:tc>
      </w:tr>
      <w:tr w:rsidR="006E54CB" w:rsidRPr="007B3B90" w14:paraId="57B53733" w14:textId="77777777" w:rsidTr="00B93F8F">
        <w:trPr>
          <w:trHeight w:val="2671"/>
        </w:trPr>
        <w:tc>
          <w:tcPr>
            <w:tcW w:w="3225" w:type="dxa"/>
            <w:shd w:val="clear" w:color="auto" w:fill="auto"/>
            <w:vAlign w:val="center"/>
          </w:tcPr>
          <w:p w14:paraId="598C93ED" w14:textId="77777777" w:rsidR="003F6CFD" w:rsidRPr="007B3B90" w:rsidRDefault="003F6CFD" w:rsidP="006E54CB">
            <w:pPr>
              <w:ind w:right="301"/>
              <w:rPr>
                <w:rFonts w:cs="Arial"/>
                <w:sz w:val="21"/>
                <w:szCs w:val="21"/>
              </w:rPr>
            </w:pPr>
            <w:r w:rsidRPr="007B3B90">
              <w:rPr>
                <w:rFonts w:cs="Arial"/>
                <w:sz w:val="21"/>
                <w:szCs w:val="21"/>
              </w:rPr>
              <w:t>-Access vessel dissection or rupture</w:t>
            </w:r>
          </w:p>
          <w:p w14:paraId="0113CADC" w14:textId="77777777" w:rsidR="003F6CFD" w:rsidRPr="007B3B90" w:rsidRDefault="003F6CFD" w:rsidP="006E54CB">
            <w:pPr>
              <w:ind w:right="301"/>
              <w:rPr>
                <w:rFonts w:cs="Arial"/>
                <w:sz w:val="21"/>
                <w:szCs w:val="21"/>
              </w:rPr>
            </w:pPr>
            <w:r w:rsidRPr="007B3B90">
              <w:rPr>
                <w:rFonts w:cs="Arial"/>
                <w:sz w:val="21"/>
                <w:szCs w:val="21"/>
              </w:rPr>
              <w:t>-Amputation</w:t>
            </w:r>
          </w:p>
          <w:p w14:paraId="6F5A12A4" w14:textId="77777777" w:rsidR="003F6CFD" w:rsidRPr="007B3B90" w:rsidRDefault="003F6CFD" w:rsidP="006E54CB">
            <w:pPr>
              <w:ind w:right="301"/>
              <w:rPr>
                <w:rFonts w:cs="Arial"/>
                <w:sz w:val="21"/>
                <w:szCs w:val="21"/>
              </w:rPr>
            </w:pPr>
            <w:r w:rsidRPr="007B3B90">
              <w:rPr>
                <w:rFonts w:cs="Arial"/>
                <w:sz w:val="21"/>
                <w:szCs w:val="21"/>
              </w:rPr>
              <w:t>-Aortic rupture</w:t>
            </w:r>
          </w:p>
          <w:p w14:paraId="6D8A0AAC" w14:textId="77777777" w:rsidR="003F6CFD" w:rsidRPr="007B3B90" w:rsidRDefault="003F6CFD" w:rsidP="006E54CB">
            <w:pPr>
              <w:ind w:right="301"/>
              <w:rPr>
                <w:rFonts w:cs="Arial"/>
                <w:sz w:val="21"/>
                <w:szCs w:val="21"/>
              </w:rPr>
            </w:pPr>
            <w:r w:rsidRPr="007B3B90">
              <w:rPr>
                <w:rFonts w:cs="Arial"/>
                <w:sz w:val="21"/>
                <w:szCs w:val="21"/>
              </w:rPr>
              <w:t>-Buttock claudication</w:t>
            </w:r>
          </w:p>
          <w:p w14:paraId="63C85FD8" w14:textId="77777777" w:rsidR="003F6CFD" w:rsidRPr="007B3B90" w:rsidRDefault="003F6CFD" w:rsidP="006E54CB">
            <w:pPr>
              <w:ind w:right="301"/>
              <w:rPr>
                <w:rFonts w:cs="Arial"/>
                <w:sz w:val="21"/>
                <w:szCs w:val="21"/>
              </w:rPr>
            </w:pPr>
            <w:r w:rsidRPr="007B3B90">
              <w:rPr>
                <w:rFonts w:cs="Arial"/>
                <w:sz w:val="21"/>
                <w:szCs w:val="21"/>
              </w:rPr>
              <w:t>-Chest infection</w:t>
            </w:r>
          </w:p>
          <w:p w14:paraId="1911C8F3" w14:textId="77777777" w:rsidR="003F6CFD" w:rsidRPr="007B3B90" w:rsidRDefault="003F6CFD" w:rsidP="006E54CB">
            <w:pPr>
              <w:ind w:right="301"/>
              <w:rPr>
                <w:rFonts w:cs="Arial"/>
                <w:sz w:val="21"/>
                <w:szCs w:val="21"/>
              </w:rPr>
            </w:pPr>
            <w:r w:rsidRPr="007B3B90">
              <w:rPr>
                <w:rFonts w:cs="Arial"/>
                <w:sz w:val="21"/>
                <w:szCs w:val="21"/>
              </w:rPr>
              <w:t>-</w:t>
            </w:r>
            <w:proofErr w:type="spellStart"/>
            <w:r w:rsidRPr="007B3B90">
              <w:rPr>
                <w:rFonts w:cs="Arial"/>
                <w:sz w:val="21"/>
                <w:szCs w:val="21"/>
              </w:rPr>
              <w:t>Endoleak</w:t>
            </w:r>
            <w:proofErr w:type="spellEnd"/>
          </w:p>
          <w:p w14:paraId="5A56BFD5" w14:textId="77777777" w:rsidR="003F6CFD" w:rsidRPr="007B3B90" w:rsidRDefault="003F6CFD" w:rsidP="006E54CB">
            <w:pPr>
              <w:ind w:right="301"/>
              <w:rPr>
                <w:rFonts w:cs="Arial"/>
                <w:sz w:val="21"/>
                <w:szCs w:val="21"/>
              </w:rPr>
            </w:pPr>
            <w:r w:rsidRPr="007B3B90">
              <w:rPr>
                <w:rFonts w:cs="Arial"/>
                <w:sz w:val="21"/>
                <w:szCs w:val="21"/>
              </w:rPr>
              <w:t xml:space="preserve">-Failure to manage at home </w:t>
            </w:r>
          </w:p>
          <w:p w14:paraId="4D0A3900" w14:textId="77777777" w:rsidR="003F6CFD" w:rsidRPr="007B3B90" w:rsidRDefault="003F6CFD" w:rsidP="006E54CB">
            <w:pPr>
              <w:ind w:right="301"/>
              <w:rPr>
                <w:rFonts w:cs="Arial"/>
                <w:sz w:val="21"/>
                <w:szCs w:val="21"/>
              </w:rPr>
            </w:pPr>
            <w:r w:rsidRPr="007B3B90">
              <w:rPr>
                <w:rFonts w:cs="Arial"/>
                <w:sz w:val="21"/>
                <w:szCs w:val="21"/>
              </w:rPr>
              <w:t>-Falls</w:t>
            </w:r>
          </w:p>
          <w:p w14:paraId="69E42059" w14:textId="77A30715" w:rsidR="003F6CFD" w:rsidRPr="007B3B90" w:rsidRDefault="003F6CFD" w:rsidP="006E54CB">
            <w:pPr>
              <w:ind w:right="301"/>
              <w:rPr>
                <w:rFonts w:cs="Arial"/>
                <w:sz w:val="21"/>
                <w:szCs w:val="21"/>
              </w:rPr>
            </w:pPr>
            <w:r w:rsidRPr="007B3B90">
              <w:rPr>
                <w:rFonts w:cs="Arial"/>
                <w:sz w:val="21"/>
                <w:szCs w:val="21"/>
              </w:rPr>
              <w:t>-Graft infection</w:t>
            </w:r>
          </w:p>
        </w:tc>
        <w:tc>
          <w:tcPr>
            <w:tcW w:w="3404" w:type="dxa"/>
            <w:vAlign w:val="center"/>
          </w:tcPr>
          <w:p w14:paraId="6FB9F21C" w14:textId="77777777" w:rsidR="003F6CFD" w:rsidRPr="007B3B90" w:rsidRDefault="003F6CFD" w:rsidP="006E54CB">
            <w:pPr>
              <w:ind w:right="301"/>
              <w:rPr>
                <w:rFonts w:cs="Arial"/>
                <w:sz w:val="21"/>
                <w:szCs w:val="21"/>
              </w:rPr>
            </w:pPr>
            <w:r w:rsidRPr="007B3B90">
              <w:rPr>
                <w:rFonts w:cs="Arial"/>
                <w:sz w:val="21"/>
                <w:szCs w:val="21"/>
              </w:rPr>
              <w:t xml:space="preserve">-Graft kinking </w:t>
            </w:r>
          </w:p>
          <w:p w14:paraId="4B8A1F12" w14:textId="77777777" w:rsidR="003F6CFD" w:rsidRPr="007B3B90" w:rsidRDefault="003F6CFD" w:rsidP="006E54CB">
            <w:pPr>
              <w:ind w:right="301"/>
              <w:rPr>
                <w:rFonts w:cs="Arial"/>
                <w:sz w:val="21"/>
                <w:szCs w:val="21"/>
              </w:rPr>
            </w:pPr>
            <w:r w:rsidRPr="007B3B90">
              <w:rPr>
                <w:rFonts w:cs="Arial"/>
                <w:sz w:val="21"/>
                <w:szCs w:val="21"/>
              </w:rPr>
              <w:t>-Graft migration</w:t>
            </w:r>
          </w:p>
          <w:p w14:paraId="0CD6DBF8" w14:textId="0BE96504" w:rsidR="003F6CFD" w:rsidRPr="007B3B90" w:rsidRDefault="003F6CFD" w:rsidP="006E54CB">
            <w:pPr>
              <w:ind w:right="301"/>
              <w:rPr>
                <w:rFonts w:cs="Arial"/>
                <w:sz w:val="21"/>
                <w:szCs w:val="21"/>
              </w:rPr>
            </w:pPr>
            <w:r w:rsidRPr="007B3B90">
              <w:rPr>
                <w:rFonts w:cs="Arial"/>
                <w:sz w:val="21"/>
                <w:szCs w:val="21"/>
              </w:rPr>
              <w:t>-Graft limb thrombosis/stenosis/occlusion</w:t>
            </w:r>
          </w:p>
          <w:p w14:paraId="29C1782F" w14:textId="1E29BD7C" w:rsidR="003F6CFD" w:rsidRPr="007B3B90" w:rsidRDefault="003F6CFD" w:rsidP="006E54CB">
            <w:pPr>
              <w:ind w:right="301"/>
              <w:rPr>
                <w:rFonts w:cs="Arial"/>
                <w:sz w:val="21"/>
                <w:szCs w:val="21"/>
              </w:rPr>
            </w:pPr>
            <w:r w:rsidRPr="007B3B90">
              <w:rPr>
                <w:rFonts w:cs="Arial"/>
                <w:sz w:val="21"/>
                <w:szCs w:val="21"/>
              </w:rPr>
              <w:t>-</w:t>
            </w:r>
            <w:r w:rsidR="006E54CB" w:rsidRPr="007B3B90">
              <w:rPr>
                <w:rFonts w:cs="Arial"/>
                <w:sz w:val="21"/>
                <w:szCs w:val="21"/>
              </w:rPr>
              <w:t>Haemorrhage</w:t>
            </w:r>
          </w:p>
          <w:p w14:paraId="7E2C7AA9" w14:textId="77777777" w:rsidR="003F6CFD" w:rsidRPr="007B3B90" w:rsidRDefault="003F6CFD" w:rsidP="006E54CB">
            <w:pPr>
              <w:ind w:right="301"/>
              <w:rPr>
                <w:rFonts w:cs="Arial"/>
                <w:sz w:val="21"/>
                <w:szCs w:val="21"/>
              </w:rPr>
            </w:pPr>
            <w:r w:rsidRPr="007B3B90">
              <w:rPr>
                <w:rFonts w:cs="Arial"/>
                <w:sz w:val="21"/>
                <w:szCs w:val="21"/>
              </w:rPr>
              <w:t>-Limb ischemia</w:t>
            </w:r>
          </w:p>
          <w:p w14:paraId="0B6AB290" w14:textId="77777777" w:rsidR="003F6CFD" w:rsidRPr="007B3B90" w:rsidRDefault="003F6CFD" w:rsidP="006E54CB">
            <w:pPr>
              <w:ind w:right="301"/>
              <w:rPr>
                <w:rFonts w:cs="Arial"/>
                <w:sz w:val="21"/>
                <w:szCs w:val="21"/>
              </w:rPr>
            </w:pPr>
            <w:r w:rsidRPr="007B3B90">
              <w:rPr>
                <w:rFonts w:cs="Arial"/>
                <w:sz w:val="21"/>
                <w:szCs w:val="21"/>
              </w:rPr>
              <w:t>-Multiple organ failure</w:t>
            </w:r>
          </w:p>
          <w:p w14:paraId="1750F9E2" w14:textId="77777777" w:rsidR="003F6CFD" w:rsidRPr="007B3B90" w:rsidRDefault="003F6CFD" w:rsidP="006E54CB">
            <w:pPr>
              <w:ind w:right="301"/>
              <w:rPr>
                <w:rFonts w:cs="Arial"/>
                <w:sz w:val="21"/>
                <w:szCs w:val="21"/>
              </w:rPr>
            </w:pPr>
            <w:r w:rsidRPr="007B3B90">
              <w:rPr>
                <w:rFonts w:cs="Arial"/>
                <w:sz w:val="21"/>
                <w:szCs w:val="21"/>
              </w:rPr>
              <w:t>-Myocardial infarction</w:t>
            </w:r>
          </w:p>
          <w:p w14:paraId="188F1617" w14:textId="77777777" w:rsidR="003F6CFD" w:rsidRPr="007B3B90" w:rsidRDefault="003F6CFD" w:rsidP="006E54CB">
            <w:pPr>
              <w:ind w:right="301"/>
              <w:rPr>
                <w:rFonts w:cs="Arial"/>
                <w:sz w:val="20"/>
                <w:szCs w:val="20"/>
              </w:rPr>
            </w:pPr>
            <w:r w:rsidRPr="007B3B90">
              <w:rPr>
                <w:rFonts w:cs="Arial"/>
                <w:sz w:val="21"/>
                <w:szCs w:val="21"/>
              </w:rPr>
              <w:t>-Renal failure</w:t>
            </w:r>
          </w:p>
        </w:tc>
        <w:tc>
          <w:tcPr>
            <w:tcW w:w="2268" w:type="dxa"/>
            <w:vAlign w:val="center"/>
          </w:tcPr>
          <w:p w14:paraId="444F32AB" w14:textId="77777777" w:rsidR="003F6CFD" w:rsidRPr="007B3B90" w:rsidRDefault="003F6CFD" w:rsidP="006E54CB">
            <w:pPr>
              <w:rPr>
                <w:rFonts w:cs="Arial"/>
                <w:sz w:val="21"/>
                <w:szCs w:val="21"/>
              </w:rPr>
            </w:pPr>
            <w:r w:rsidRPr="007B3B90">
              <w:rPr>
                <w:rFonts w:cs="Arial"/>
                <w:sz w:val="21"/>
                <w:szCs w:val="21"/>
              </w:rPr>
              <w:t>-Respiratory failure</w:t>
            </w:r>
          </w:p>
          <w:p w14:paraId="2D579A72" w14:textId="77777777" w:rsidR="003F6CFD" w:rsidRPr="007B3B90" w:rsidRDefault="003F6CFD" w:rsidP="006E54CB">
            <w:pPr>
              <w:ind w:right="-116"/>
              <w:rPr>
                <w:rFonts w:cs="Arial"/>
                <w:sz w:val="21"/>
                <w:szCs w:val="21"/>
              </w:rPr>
            </w:pPr>
            <w:r w:rsidRPr="007B3B90">
              <w:rPr>
                <w:rFonts w:cs="Arial"/>
                <w:sz w:val="21"/>
                <w:szCs w:val="21"/>
              </w:rPr>
              <w:t>-Spinal cord ischemia</w:t>
            </w:r>
          </w:p>
          <w:p w14:paraId="14CCD677" w14:textId="77777777" w:rsidR="003F6CFD" w:rsidRPr="007B3B90" w:rsidRDefault="003F6CFD" w:rsidP="006E54CB">
            <w:pPr>
              <w:ind w:right="301"/>
              <w:rPr>
                <w:rFonts w:cs="Arial"/>
                <w:sz w:val="21"/>
                <w:szCs w:val="21"/>
              </w:rPr>
            </w:pPr>
            <w:r w:rsidRPr="007B3B90">
              <w:rPr>
                <w:rFonts w:cs="Arial"/>
                <w:sz w:val="21"/>
                <w:szCs w:val="21"/>
              </w:rPr>
              <w:t>-Stroke</w:t>
            </w:r>
          </w:p>
          <w:p w14:paraId="114C5EE9" w14:textId="77777777" w:rsidR="003F6CFD" w:rsidRPr="007B3B90" w:rsidRDefault="003F6CFD" w:rsidP="006E54CB">
            <w:pPr>
              <w:ind w:right="301"/>
              <w:rPr>
                <w:rFonts w:cs="Arial"/>
                <w:sz w:val="21"/>
                <w:szCs w:val="21"/>
              </w:rPr>
            </w:pPr>
            <w:r w:rsidRPr="007B3B90">
              <w:rPr>
                <w:rFonts w:cs="Arial"/>
                <w:sz w:val="21"/>
                <w:szCs w:val="21"/>
              </w:rPr>
              <w:t>-UTI</w:t>
            </w:r>
          </w:p>
          <w:p w14:paraId="39E1D5A7" w14:textId="77777777" w:rsidR="003F6CFD" w:rsidRPr="007B3B90" w:rsidRDefault="003F6CFD" w:rsidP="006E54CB">
            <w:pPr>
              <w:ind w:right="-116"/>
              <w:rPr>
                <w:rFonts w:cs="Arial"/>
                <w:sz w:val="21"/>
                <w:szCs w:val="21"/>
              </w:rPr>
            </w:pPr>
            <w:r w:rsidRPr="007B3B90">
              <w:rPr>
                <w:rFonts w:cs="Arial"/>
                <w:sz w:val="21"/>
                <w:szCs w:val="21"/>
              </w:rPr>
              <w:t>-Unable to contact patient</w:t>
            </w:r>
          </w:p>
          <w:p w14:paraId="27CE4CAC" w14:textId="77777777" w:rsidR="003F6CFD" w:rsidRPr="007B3B90" w:rsidRDefault="003F6CFD" w:rsidP="006E54CB">
            <w:pPr>
              <w:ind w:right="-116"/>
              <w:rPr>
                <w:rFonts w:cs="Arial"/>
                <w:sz w:val="21"/>
                <w:szCs w:val="21"/>
              </w:rPr>
            </w:pPr>
            <w:r w:rsidRPr="007B3B90">
              <w:rPr>
                <w:rFonts w:cs="Arial"/>
                <w:sz w:val="21"/>
                <w:szCs w:val="21"/>
              </w:rPr>
              <w:t>-Visceral ischemia</w:t>
            </w:r>
          </w:p>
          <w:p w14:paraId="306036A1" w14:textId="77777777" w:rsidR="003F6CFD" w:rsidRPr="007B3B90" w:rsidRDefault="003F6CFD" w:rsidP="006E54CB">
            <w:pPr>
              <w:ind w:right="301"/>
              <w:rPr>
                <w:rFonts w:cs="Arial"/>
                <w:sz w:val="21"/>
                <w:szCs w:val="21"/>
              </w:rPr>
            </w:pPr>
            <w:r w:rsidRPr="007B3B90">
              <w:rPr>
                <w:rFonts w:cs="Arial"/>
                <w:sz w:val="21"/>
                <w:szCs w:val="21"/>
              </w:rPr>
              <w:t>-Wound infection</w:t>
            </w:r>
          </w:p>
          <w:p w14:paraId="761C97A6" w14:textId="77777777" w:rsidR="003F6CFD" w:rsidRPr="007B3B90" w:rsidRDefault="003F6CFD" w:rsidP="006E54CB">
            <w:pPr>
              <w:ind w:right="301"/>
              <w:rPr>
                <w:rFonts w:cs="Arial"/>
                <w:sz w:val="21"/>
                <w:szCs w:val="21"/>
              </w:rPr>
            </w:pPr>
          </w:p>
        </w:tc>
      </w:tr>
    </w:tbl>
    <w:p w14:paraId="18F071E3" w14:textId="77777777" w:rsidR="003F6CFD" w:rsidRPr="007B3B90" w:rsidRDefault="003F6CFD" w:rsidP="003F6CFD">
      <w:pPr>
        <w:ind w:left="567" w:right="301"/>
        <w:rPr>
          <w:rFonts w:cs="Arial"/>
          <w:b/>
          <w:szCs w:val="22"/>
          <w:u w:val="single"/>
        </w:rPr>
      </w:pPr>
    </w:p>
    <w:p w14:paraId="5B4DE349" w14:textId="1D87D2B3" w:rsidR="003F6CFD" w:rsidRPr="007B3B90" w:rsidRDefault="003F6CFD" w:rsidP="00B93F8F">
      <w:pPr>
        <w:jc w:val="both"/>
        <w:rPr>
          <w:rFonts w:cs="Arial"/>
          <w:szCs w:val="22"/>
        </w:rPr>
      </w:pPr>
      <w:r w:rsidRPr="007B3B90">
        <w:rPr>
          <w:rFonts w:cs="Arial"/>
          <w:b/>
          <w:szCs w:val="22"/>
          <w:u w:val="single"/>
        </w:rPr>
        <w:t>Risk-to-Benefit Rationale:</w:t>
      </w:r>
      <w:r w:rsidRPr="00E56058">
        <w:rPr>
          <w:rFonts w:cs="Arial"/>
          <w:b/>
          <w:u w:val="single"/>
        </w:rPr>
        <w:t xml:space="preserve"> </w:t>
      </w:r>
      <w:r w:rsidRPr="00E56058">
        <w:rPr>
          <w:rFonts w:cs="Arial"/>
        </w:rPr>
        <w:t>T</w:t>
      </w:r>
      <w:r w:rsidR="009D1123">
        <w:rPr>
          <w:rFonts w:cs="Arial"/>
        </w:rPr>
        <w:t>he</w:t>
      </w:r>
      <w:r w:rsidRPr="00E56058">
        <w:rPr>
          <w:rFonts w:cs="Arial"/>
        </w:rPr>
        <w:t xml:space="preserve"> </w:t>
      </w:r>
      <w:r w:rsidR="009D1123">
        <w:rPr>
          <w:rFonts w:cs="Arial"/>
        </w:rPr>
        <w:t xml:space="preserve">intervention </w:t>
      </w:r>
      <w:r w:rsidR="001F0286">
        <w:rPr>
          <w:rFonts w:cs="Arial"/>
        </w:rPr>
        <w:t xml:space="preserve">aims to discharge patients </w:t>
      </w:r>
      <w:r w:rsidRPr="00E56058">
        <w:rPr>
          <w:rFonts w:cs="Arial"/>
        </w:rPr>
        <w:t xml:space="preserve">within 23-hours after EVAR. With discharge at or before 23-hours there is a theoretical risk of missing complications that could be treated earlier in hospital. This risk is mitigated by early telephone/remote contact after discharge and careful selection of low-risk patients. The risk is low as the vast majority of </w:t>
      </w:r>
      <w:r w:rsidR="00B50992" w:rsidRPr="00E56058">
        <w:rPr>
          <w:rFonts w:cs="Arial"/>
        </w:rPr>
        <w:t xml:space="preserve">major </w:t>
      </w:r>
      <w:r w:rsidRPr="00E56058">
        <w:rPr>
          <w:rFonts w:cs="Arial"/>
        </w:rPr>
        <w:t>complications occur within 23-hours. Advantages to discharge at or before 23-hours could be that of increased patient satisfaction recovering at home, reduced hospital acquired complications such as</w:t>
      </w:r>
      <w:r w:rsidR="004D2F64">
        <w:rPr>
          <w:rFonts w:cs="Arial"/>
        </w:rPr>
        <w:t xml:space="preserve"> </w:t>
      </w:r>
      <w:r w:rsidR="00B20F45">
        <w:rPr>
          <w:rFonts w:cs="Arial"/>
        </w:rPr>
        <w:t xml:space="preserve">a </w:t>
      </w:r>
      <w:r w:rsidR="004D2F64">
        <w:rPr>
          <w:rFonts w:cs="Arial"/>
        </w:rPr>
        <w:t>urinary tract infection</w:t>
      </w:r>
      <w:r w:rsidR="007B2582">
        <w:rPr>
          <w:rFonts w:cs="Arial"/>
        </w:rPr>
        <w:t>s</w:t>
      </w:r>
      <w:r w:rsidR="004D2F64">
        <w:rPr>
          <w:rFonts w:cs="Arial"/>
        </w:rPr>
        <w:t xml:space="preserve"> </w:t>
      </w:r>
      <w:r w:rsidR="007B2582">
        <w:rPr>
          <w:rFonts w:cs="Arial"/>
        </w:rPr>
        <w:t>(</w:t>
      </w:r>
      <w:r w:rsidRPr="00E56058">
        <w:rPr>
          <w:rFonts w:cs="Arial"/>
        </w:rPr>
        <w:t>UTI</w:t>
      </w:r>
      <w:r w:rsidR="007B2582">
        <w:rPr>
          <w:rFonts w:cs="Arial"/>
        </w:rPr>
        <w:t>), hospital acquired pneumonia</w:t>
      </w:r>
      <w:r w:rsidR="00B619C8">
        <w:rPr>
          <w:rFonts w:cs="Arial"/>
        </w:rPr>
        <w:t xml:space="preserve"> </w:t>
      </w:r>
      <w:r w:rsidR="007B2582">
        <w:rPr>
          <w:rFonts w:cs="Arial"/>
        </w:rPr>
        <w:t>(HAP)</w:t>
      </w:r>
      <w:r w:rsidR="00B619C8">
        <w:rPr>
          <w:rFonts w:cs="Arial"/>
        </w:rPr>
        <w:t xml:space="preserve"> </w:t>
      </w:r>
      <w:r w:rsidRPr="00E56058">
        <w:rPr>
          <w:rFonts w:cs="Arial"/>
        </w:rPr>
        <w:t>and at present, reduced risk of COVID-19</w:t>
      </w:r>
      <w:r w:rsidR="007B2582">
        <w:rPr>
          <w:rFonts w:cs="Arial"/>
        </w:rPr>
        <w:t xml:space="preserve"> infection and</w:t>
      </w:r>
      <w:r w:rsidRPr="00E56058">
        <w:rPr>
          <w:rFonts w:cs="Arial"/>
        </w:rPr>
        <w:t xml:space="preserve"> transmission.</w:t>
      </w:r>
    </w:p>
    <w:p w14:paraId="1840AB5D" w14:textId="77777777" w:rsidR="00663512" w:rsidRPr="007B3B90" w:rsidRDefault="00663512" w:rsidP="00663512">
      <w:pPr>
        <w:pStyle w:val="Normal1"/>
        <w:jc w:val="both"/>
        <w:rPr>
          <w:rFonts w:cs="Arial"/>
          <w:bCs/>
          <w:szCs w:val="24"/>
          <w:lang w:val="en-GB"/>
        </w:rPr>
      </w:pPr>
    </w:p>
    <w:p w14:paraId="03FAC8C9" w14:textId="25CE0CD0" w:rsidR="00663512" w:rsidRPr="007B3B90" w:rsidRDefault="00663512" w:rsidP="00B5057B">
      <w:pPr>
        <w:pStyle w:val="Normal1"/>
        <w:ind w:left="720"/>
        <w:jc w:val="both"/>
        <w:rPr>
          <w:rFonts w:cs="Arial"/>
          <w:b/>
          <w:bCs/>
          <w:szCs w:val="24"/>
          <w:lang w:val="en-GB"/>
        </w:rPr>
      </w:pPr>
      <w:r w:rsidRPr="007B3B90">
        <w:rPr>
          <w:rFonts w:cs="Arial"/>
          <w:b/>
          <w:bCs/>
          <w:szCs w:val="24"/>
          <w:lang w:val="en-GB"/>
        </w:rPr>
        <w:t>5.</w:t>
      </w:r>
      <w:r w:rsidR="00B5057B" w:rsidRPr="007B3B90">
        <w:rPr>
          <w:rFonts w:cs="Arial"/>
          <w:b/>
          <w:bCs/>
          <w:szCs w:val="24"/>
          <w:lang w:val="en-GB"/>
        </w:rPr>
        <w:t>2</w:t>
      </w:r>
      <w:r w:rsidRPr="007B3B90">
        <w:rPr>
          <w:rFonts w:cs="Arial"/>
          <w:b/>
          <w:bCs/>
          <w:szCs w:val="24"/>
          <w:lang w:val="en-GB"/>
        </w:rPr>
        <w:t>.1 Non serious AEs</w:t>
      </w:r>
    </w:p>
    <w:p w14:paraId="266F053A" w14:textId="77777777" w:rsidR="0082031C" w:rsidRPr="007B3B90" w:rsidRDefault="0082031C" w:rsidP="00663512">
      <w:pPr>
        <w:pStyle w:val="Normal1"/>
        <w:jc w:val="both"/>
        <w:rPr>
          <w:rFonts w:cs="Arial"/>
          <w:b/>
          <w:bCs/>
          <w:szCs w:val="24"/>
          <w:lang w:val="en-GB"/>
        </w:rPr>
      </w:pPr>
    </w:p>
    <w:p w14:paraId="46F56AC3" w14:textId="3E15441F" w:rsidR="00663512" w:rsidRPr="007B3B90" w:rsidRDefault="00663512" w:rsidP="00663512">
      <w:pPr>
        <w:pStyle w:val="Normal1"/>
        <w:jc w:val="both"/>
        <w:rPr>
          <w:rFonts w:cs="Arial"/>
          <w:bCs/>
          <w:szCs w:val="24"/>
          <w:lang w:val="en-GB"/>
        </w:rPr>
      </w:pPr>
      <w:r w:rsidRPr="007B3B90">
        <w:rPr>
          <w:rFonts w:cs="Arial"/>
          <w:bCs/>
          <w:szCs w:val="24"/>
          <w:lang w:val="en-GB"/>
        </w:rPr>
        <w:lastRenderedPageBreak/>
        <w:t>All such events, whether expected or not</w:t>
      </w:r>
      <w:r w:rsidR="00ED2CF9" w:rsidRPr="007B3B90">
        <w:rPr>
          <w:rFonts w:cs="Arial"/>
          <w:bCs/>
          <w:szCs w:val="24"/>
          <w:lang w:val="en-GB"/>
        </w:rPr>
        <w:t xml:space="preserve"> and whether related to the study or not</w:t>
      </w:r>
      <w:r w:rsidRPr="007B3B90">
        <w:rPr>
          <w:rFonts w:cs="Arial"/>
          <w:bCs/>
          <w:szCs w:val="24"/>
          <w:lang w:val="en-GB"/>
        </w:rPr>
        <w:t xml:space="preserve">, </w:t>
      </w:r>
      <w:r w:rsidR="00ED2CF9" w:rsidRPr="007B3B90">
        <w:rPr>
          <w:rFonts w:cs="Arial"/>
          <w:bCs/>
          <w:szCs w:val="24"/>
          <w:lang w:val="en-GB"/>
        </w:rPr>
        <w:t xml:space="preserve">will </w:t>
      </w:r>
      <w:r w:rsidRPr="007B3B90">
        <w:rPr>
          <w:rFonts w:cs="Arial"/>
          <w:bCs/>
          <w:szCs w:val="24"/>
          <w:lang w:val="en-GB"/>
        </w:rPr>
        <w:t>be recorde</w:t>
      </w:r>
      <w:r w:rsidR="00282F51" w:rsidRPr="007B3B90">
        <w:rPr>
          <w:rFonts w:cs="Arial"/>
          <w:bCs/>
          <w:szCs w:val="24"/>
          <w:lang w:val="en-GB"/>
        </w:rPr>
        <w:t>d.</w:t>
      </w:r>
      <w:r w:rsidR="00ED2CF9" w:rsidRPr="007B3B90">
        <w:rPr>
          <w:rFonts w:cs="Arial"/>
          <w:bCs/>
          <w:szCs w:val="24"/>
          <w:lang w:val="en-GB"/>
        </w:rPr>
        <w:t xml:space="preserve"> Adverse events will include medical, social and psychological untoward events. These will be reported on the standard data collection forms at each data collection time point.</w:t>
      </w:r>
      <w:r w:rsidR="00282F51" w:rsidRPr="007B3B90">
        <w:rPr>
          <w:rFonts w:cs="Arial"/>
          <w:bCs/>
          <w:szCs w:val="24"/>
          <w:lang w:val="en-GB"/>
        </w:rPr>
        <w:t xml:space="preserve"> </w:t>
      </w:r>
    </w:p>
    <w:p w14:paraId="500D86F7" w14:textId="77777777" w:rsidR="00663512" w:rsidRPr="007B3B90" w:rsidRDefault="00663512" w:rsidP="00663512">
      <w:pPr>
        <w:pStyle w:val="Normal1"/>
        <w:jc w:val="both"/>
        <w:rPr>
          <w:rFonts w:cs="Arial"/>
          <w:bCs/>
          <w:szCs w:val="24"/>
          <w:lang w:val="en-GB"/>
        </w:rPr>
      </w:pPr>
    </w:p>
    <w:p w14:paraId="31FFA08D" w14:textId="549987C8" w:rsidR="00663512" w:rsidRPr="007B3B90" w:rsidRDefault="00663512" w:rsidP="00B5057B">
      <w:pPr>
        <w:pStyle w:val="Normal1"/>
        <w:ind w:left="720"/>
        <w:jc w:val="both"/>
        <w:rPr>
          <w:rFonts w:cs="Arial"/>
          <w:b/>
          <w:bCs/>
          <w:szCs w:val="24"/>
          <w:lang w:val="en-GB"/>
        </w:rPr>
      </w:pPr>
      <w:r w:rsidRPr="007B3B90">
        <w:rPr>
          <w:rFonts w:cs="Arial"/>
          <w:b/>
          <w:bCs/>
          <w:szCs w:val="24"/>
          <w:lang w:val="en-GB"/>
        </w:rPr>
        <w:t>5.</w:t>
      </w:r>
      <w:r w:rsidR="00B5057B" w:rsidRPr="007B3B90">
        <w:rPr>
          <w:rFonts w:cs="Arial"/>
          <w:b/>
          <w:bCs/>
          <w:szCs w:val="24"/>
          <w:lang w:val="en-GB"/>
        </w:rPr>
        <w:t>2</w:t>
      </w:r>
      <w:r w:rsidRPr="007B3B90">
        <w:rPr>
          <w:rFonts w:cs="Arial"/>
          <w:b/>
          <w:bCs/>
          <w:szCs w:val="24"/>
          <w:lang w:val="en-GB"/>
        </w:rPr>
        <w:t>.2 Serious AEs</w:t>
      </w:r>
    </w:p>
    <w:p w14:paraId="52DD6661" w14:textId="77777777" w:rsidR="0082031C" w:rsidRPr="007B3B90" w:rsidRDefault="0082031C" w:rsidP="00663512">
      <w:pPr>
        <w:pStyle w:val="Normal1"/>
        <w:jc w:val="both"/>
        <w:rPr>
          <w:rFonts w:cs="Arial"/>
          <w:b/>
          <w:bCs/>
          <w:szCs w:val="24"/>
          <w:lang w:val="en-GB"/>
        </w:rPr>
      </w:pPr>
    </w:p>
    <w:p w14:paraId="36BF0D80" w14:textId="6AC49C79" w:rsidR="00663512" w:rsidRPr="007B3B90" w:rsidRDefault="00663512" w:rsidP="00663512">
      <w:pPr>
        <w:pStyle w:val="Normal1"/>
        <w:jc w:val="both"/>
        <w:rPr>
          <w:rFonts w:cs="Arial"/>
          <w:szCs w:val="24"/>
          <w:lang w:val="en-GB"/>
        </w:rPr>
      </w:pPr>
      <w:r w:rsidRPr="007B3B90">
        <w:rPr>
          <w:rFonts w:cs="Arial"/>
          <w:szCs w:val="24"/>
          <w:lang w:val="en-GB"/>
        </w:rPr>
        <w:t xml:space="preserve">An SAE form </w:t>
      </w:r>
      <w:r w:rsidR="00ED2CF9" w:rsidRPr="007B3B90">
        <w:rPr>
          <w:rFonts w:cs="Arial"/>
          <w:szCs w:val="24"/>
          <w:lang w:val="en-GB"/>
        </w:rPr>
        <w:t xml:space="preserve">will </w:t>
      </w:r>
      <w:r w:rsidRPr="007B3B90">
        <w:rPr>
          <w:rFonts w:cs="Arial"/>
          <w:szCs w:val="24"/>
          <w:lang w:val="en-GB"/>
        </w:rPr>
        <w:t xml:space="preserve">be completed and </w:t>
      </w:r>
      <w:r w:rsidR="00A96889" w:rsidRPr="007B3B90">
        <w:rPr>
          <w:rFonts w:cs="Arial"/>
          <w:szCs w:val="24"/>
          <w:lang w:val="en-GB"/>
        </w:rPr>
        <w:t>emailed</w:t>
      </w:r>
      <w:r w:rsidR="00F2714B" w:rsidRPr="007B3B90">
        <w:rPr>
          <w:rFonts w:cs="Arial"/>
          <w:szCs w:val="24"/>
          <w:lang w:val="en-GB"/>
        </w:rPr>
        <w:t xml:space="preserve"> </w:t>
      </w:r>
      <w:r w:rsidRPr="007B3B90">
        <w:rPr>
          <w:rFonts w:cs="Arial"/>
          <w:szCs w:val="24"/>
          <w:lang w:val="en-GB"/>
        </w:rPr>
        <w:t>to the Chief Investigator within 24 hours</w:t>
      </w:r>
      <w:r w:rsidR="00187F3E" w:rsidRPr="007B3B90">
        <w:rPr>
          <w:rFonts w:cs="Arial"/>
          <w:szCs w:val="24"/>
          <w:lang w:val="en-GB"/>
        </w:rPr>
        <w:t xml:space="preserve"> of the local team becoming aware</w:t>
      </w:r>
      <w:r w:rsidRPr="007B3B90">
        <w:rPr>
          <w:rFonts w:cs="Arial"/>
          <w:szCs w:val="24"/>
          <w:lang w:val="en-GB"/>
        </w:rPr>
        <w:t xml:space="preserve">. However, hospitalisations for elective treatment of a pre-existing condition </w:t>
      </w:r>
      <w:r w:rsidR="00ED2CF9" w:rsidRPr="007B3B90">
        <w:rPr>
          <w:rFonts w:cs="Arial"/>
          <w:szCs w:val="24"/>
          <w:lang w:val="en-GB"/>
        </w:rPr>
        <w:t xml:space="preserve">will </w:t>
      </w:r>
      <w:r w:rsidRPr="007B3B90">
        <w:rPr>
          <w:rFonts w:cs="Arial"/>
          <w:szCs w:val="24"/>
          <w:lang w:val="en-GB"/>
        </w:rPr>
        <w:t>not need reporting as SAEs.</w:t>
      </w:r>
    </w:p>
    <w:p w14:paraId="7EB0A688" w14:textId="59F1BD3F" w:rsidR="00ED2CF9" w:rsidRPr="007B3B90" w:rsidRDefault="00ED2CF9" w:rsidP="00663512">
      <w:pPr>
        <w:pStyle w:val="Normal1"/>
        <w:jc w:val="both"/>
        <w:rPr>
          <w:rFonts w:cs="Arial"/>
          <w:szCs w:val="24"/>
          <w:lang w:val="en-GB"/>
        </w:rPr>
      </w:pPr>
    </w:p>
    <w:p w14:paraId="29F5EDE2" w14:textId="738778D4" w:rsidR="00ED2CF9" w:rsidRPr="007B3B90" w:rsidRDefault="00ED2CF9" w:rsidP="00663512">
      <w:pPr>
        <w:pStyle w:val="Normal1"/>
        <w:jc w:val="both"/>
        <w:rPr>
          <w:rFonts w:cs="Arial"/>
          <w:szCs w:val="24"/>
          <w:lang w:val="en-GB"/>
        </w:rPr>
      </w:pPr>
      <w:r w:rsidRPr="007B3B90">
        <w:rPr>
          <w:rFonts w:cs="Arial"/>
          <w:szCs w:val="24"/>
          <w:lang w:val="en-GB"/>
        </w:rPr>
        <w:t xml:space="preserve">SAEs will be </w:t>
      </w:r>
      <w:r w:rsidR="008B7473" w:rsidRPr="007B3B90">
        <w:rPr>
          <w:rFonts w:cs="Arial"/>
          <w:szCs w:val="24"/>
          <w:lang w:val="en-GB"/>
        </w:rPr>
        <w:t xml:space="preserve">categorised into related or unrelated </w:t>
      </w:r>
      <w:r w:rsidR="00187F3E" w:rsidRPr="007B3B90">
        <w:rPr>
          <w:rFonts w:cs="Arial"/>
          <w:szCs w:val="24"/>
          <w:lang w:val="en-GB"/>
        </w:rPr>
        <w:t xml:space="preserve">to the STAR intervention </w:t>
      </w:r>
      <w:r w:rsidR="008B7473" w:rsidRPr="007B3B90">
        <w:rPr>
          <w:rFonts w:cs="Arial"/>
          <w:szCs w:val="24"/>
          <w:lang w:val="en-GB"/>
        </w:rPr>
        <w:t xml:space="preserve">and </w:t>
      </w:r>
      <w:r w:rsidR="001D6736" w:rsidRPr="007B3B90">
        <w:rPr>
          <w:rFonts w:cs="Arial"/>
          <w:szCs w:val="24"/>
          <w:lang w:val="en-GB"/>
        </w:rPr>
        <w:t>anticipated</w:t>
      </w:r>
      <w:r w:rsidR="008B7473" w:rsidRPr="007B3B90">
        <w:rPr>
          <w:rFonts w:cs="Arial"/>
          <w:szCs w:val="24"/>
          <w:lang w:val="en-GB"/>
        </w:rPr>
        <w:t xml:space="preserve"> </w:t>
      </w:r>
      <w:r w:rsidR="00187F3E" w:rsidRPr="007B3B90">
        <w:rPr>
          <w:rFonts w:cs="Arial"/>
          <w:szCs w:val="24"/>
          <w:lang w:val="en-GB"/>
        </w:rPr>
        <w:t>or</w:t>
      </w:r>
      <w:r w:rsidR="008B7473" w:rsidRPr="007B3B90">
        <w:rPr>
          <w:rFonts w:cs="Arial"/>
          <w:szCs w:val="24"/>
          <w:lang w:val="en-GB"/>
        </w:rPr>
        <w:t xml:space="preserve"> unexpected </w:t>
      </w:r>
      <w:r w:rsidR="00187F3E" w:rsidRPr="007B3B90">
        <w:rPr>
          <w:rFonts w:cs="Arial"/>
          <w:szCs w:val="24"/>
          <w:lang w:val="en-GB"/>
        </w:rPr>
        <w:t xml:space="preserve">with EVAR </w:t>
      </w:r>
      <w:r w:rsidR="008B7473" w:rsidRPr="007B3B90">
        <w:rPr>
          <w:rFonts w:cs="Arial"/>
          <w:szCs w:val="24"/>
          <w:lang w:val="en-GB"/>
        </w:rPr>
        <w:t>and a full description of the event recorded.</w:t>
      </w:r>
    </w:p>
    <w:p w14:paraId="5A75BDE4" w14:textId="77777777" w:rsidR="00663512" w:rsidRPr="007B3B90" w:rsidRDefault="00663512" w:rsidP="00663512">
      <w:pPr>
        <w:pStyle w:val="Normal1"/>
        <w:jc w:val="both"/>
        <w:rPr>
          <w:rFonts w:cs="Arial"/>
          <w:szCs w:val="24"/>
          <w:lang w:val="en-GB"/>
        </w:rPr>
      </w:pPr>
    </w:p>
    <w:p w14:paraId="7202BE39" w14:textId="78826C75" w:rsidR="00663512" w:rsidRPr="007B3B90" w:rsidRDefault="00663512" w:rsidP="00663512">
      <w:pPr>
        <w:pStyle w:val="Normal1"/>
        <w:jc w:val="both"/>
        <w:rPr>
          <w:rFonts w:cs="Arial"/>
          <w:szCs w:val="24"/>
          <w:lang w:val="en-GB"/>
        </w:rPr>
      </w:pPr>
      <w:r w:rsidRPr="007B3B90">
        <w:rPr>
          <w:rFonts w:cs="Arial"/>
          <w:szCs w:val="24"/>
          <w:lang w:val="en-GB"/>
        </w:rPr>
        <w:t xml:space="preserve">All SAEs </w:t>
      </w:r>
      <w:r w:rsidR="00ED2CF9" w:rsidRPr="007B3B90">
        <w:rPr>
          <w:rFonts w:cs="Arial"/>
          <w:szCs w:val="24"/>
          <w:lang w:val="en-GB"/>
        </w:rPr>
        <w:t xml:space="preserve">will </w:t>
      </w:r>
      <w:r w:rsidRPr="007B3B90">
        <w:rPr>
          <w:rFonts w:cs="Arial"/>
          <w:szCs w:val="24"/>
          <w:lang w:val="en-GB"/>
        </w:rPr>
        <w:t xml:space="preserve">be reported to the </w:t>
      </w:r>
      <w:bookmarkStart w:id="30" w:name="Text65"/>
      <w:r w:rsidRPr="007B3B90">
        <w:rPr>
          <w:rFonts w:cs="Arial"/>
          <w:szCs w:val="24"/>
          <w:highlight w:val="cyan"/>
          <w:lang w:val="en-GB"/>
        </w:rPr>
        <w:fldChar w:fldCharType="begin">
          <w:ffData>
            <w:name w:val="Text65"/>
            <w:enabled/>
            <w:calcOnExit w:val="0"/>
            <w:textInput>
              <w:default w:val="&lt;name of REC&gt;"/>
            </w:textInput>
          </w:ffData>
        </w:fldChar>
      </w:r>
      <w:r w:rsidRPr="007B3B90">
        <w:rPr>
          <w:rFonts w:cs="Arial"/>
          <w:szCs w:val="24"/>
          <w:highlight w:val="cyan"/>
          <w:lang w:val="en-GB"/>
        </w:rPr>
        <w:instrText xml:space="preserve"> FORMTEXT </w:instrText>
      </w:r>
      <w:r w:rsidRPr="007B3B90">
        <w:rPr>
          <w:rFonts w:cs="Arial"/>
          <w:szCs w:val="24"/>
          <w:highlight w:val="cyan"/>
          <w:lang w:val="en-GB"/>
        </w:rPr>
      </w:r>
      <w:r w:rsidRPr="007B3B90">
        <w:rPr>
          <w:rFonts w:cs="Arial"/>
          <w:szCs w:val="24"/>
          <w:highlight w:val="cyan"/>
          <w:lang w:val="en-GB"/>
        </w:rPr>
        <w:fldChar w:fldCharType="separate"/>
      </w:r>
      <w:r w:rsidRPr="00680C46">
        <w:rPr>
          <w:rFonts w:cs="Arial"/>
          <w:szCs w:val="24"/>
          <w:highlight w:val="cyan"/>
          <w:lang w:val="en-GB"/>
        </w:rPr>
        <w:t>&lt;name of REC&gt;</w:t>
      </w:r>
      <w:r w:rsidRPr="007B3B90">
        <w:rPr>
          <w:rFonts w:cs="Arial"/>
          <w:szCs w:val="24"/>
          <w:highlight w:val="cyan"/>
          <w:lang w:val="en-GB"/>
        </w:rPr>
        <w:fldChar w:fldCharType="end"/>
      </w:r>
      <w:bookmarkEnd w:id="30"/>
      <w:r w:rsidRPr="007B3B90">
        <w:rPr>
          <w:rFonts w:cs="Arial"/>
          <w:szCs w:val="24"/>
          <w:lang w:val="en-GB"/>
        </w:rPr>
        <w:t xml:space="preserve"> where in the opinion of the Chief Investigator, the event was:</w:t>
      </w:r>
    </w:p>
    <w:p w14:paraId="6E488E36" w14:textId="3F358254" w:rsidR="00663512" w:rsidRPr="007B3B90" w:rsidRDefault="00663512" w:rsidP="00880434">
      <w:pPr>
        <w:pStyle w:val="Normal1"/>
        <w:numPr>
          <w:ilvl w:val="0"/>
          <w:numId w:val="6"/>
        </w:numPr>
        <w:tabs>
          <w:tab w:val="clear" w:pos="2880"/>
          <w:tab w:val="num" w:pos="1260"/>
        </w:tabs>
        <w:ind w:left="1260"/>
        <w:jc w:val="both"/>
        <w:rPr>
          <w:rFonts w:cs="Arial"/>
          <w:szCs w:val="24"/>
          <w:lang w:val="en-GB"/>
        </w:rPr>
      </w:pPr>
      <w:r w:rsidRPr="007B3B90">
        <w:rPr>
          <w:rFonts w:cs="Arial"/>
          <w:szCs w:val="24"/>
          <w:lang w:val="en-GB"/>
        </w:rPr>
        <w:t xml:space="preserve">‘related’, </w:t>
      </w:r>
      <w:r w:rsidR="00436B39" w:rsidRPr="007B3B90">
        <w:rPr>
          <w:rFonts w:cs="Arial"/>
          <w:szCs w:val="24"/>
          <w:lang w:val="en-GB"/>
        </w:rPr>
        <w:t>i.e.,</w:t>
      </w:r>
      <w:r w:rsidRPr="007B3B90">
        <w:rPr>
          <w:rFonts w:cs="Arial"/>
          <w:szCs w:val="24"/>
          <w:lang w:val="en-GB"/>
        </w:rPr>
        <w:t xml:space="preserve"> resulted from the administration of any of the research procedures; and</w:t>
      </w:r>
    </w:p>
    <w:p w14:paraId="7084910B" w14:textId="1127AD79" w:rsidR="00663512" w:rsidRPr="007B3B90" w:rsidRDefault="00663512" w:rsidP="00880434">
      <w:pPr>
        <w:pStyle w:val="Normal1"/>
        <w:numPr>
          <w:ilvl w:val="0"/>
          <w:numId w:val="6"/>
        </w:numPr>
        <w:tabs>
          <w:tab w:val="clear" w:pos="2880"/>
          <w:tab w:val="num" w:pos="1260"/>
        </w:tabs>
        <w:ind w:left="1260"/>
        <w:jc w:val="both"/>
        <w:rPr>
          <w:rFonts w:cs="Arial"/>
          <w:szCs w:val="24"/>
          <w:lang w:val="en-GB"/>
        </w:rPr>
      </w:pPr>
      <w:r w:rsidRPr="007B3B90">
        <w:rPr>
          <w:rFonts w:cs="Arial"/>
          <w:szCs w:val="24"/>
          <w:lang w:val="en-GB"/>
        </w:rPr>
        <w:t xml:space="preserve">‘unexpected’, </w:t>
      </w:r>
      <w:r w:rsidR="00436B39" w:rsidRPr="007B3B90">
        <w:rPr>
          <w:rFonts w:cs="Arial"/>
          <w:szCs w:val="24"/>
          <w:lang w:val="en-GB"/>
        </w:rPr>
        <w:t>i.e.,</w:t>
      </w:r>
      <w:r w:rsidRPr="007B3B90">
        <w:rPr>
          <w:rFonts w:cs="Arial"/>
          <w:szCs w:val="24"/>
          <w:lang w:val="en-GB"/>
        </w:rPr>
        <w:t xml:space="preserve"> an event that is not listed in the protocol as an </w:t>
      </w:r>
      <w:r w:rsidR="001D6736" w:rsidRPr="007B3B90">
        <w:rPr>
          <w:rFonts w:cs="Arial"/>
          <w:szCs w:val="24"/>
          <w:lang w:val="en-GB"/>
        </w:rPr>
        <w:t xml:space="preserve">anticipated </w:t>
      </w:r>
      <w:r w:rsidRPr="007B3B90">
        <w:rPr>
          <w:rFonts w:cs="Arial"/>
          <w:szCs w:val="24"/>
          <w:lang w:val="en-GB"/>
        </w:rPr>
        <w:t>occurrence</w:t>
      </w:r>
    </w:p>
    <w:p w14:paraId="28BD54B3" w14:textId="77777777" w:rsidR="00663512" w:rsidRPr="007B3B90" w:rsidRDefault="00663512" w:rsidP="00663512">
      <w:pPr>
        <w:pStyle w:val="Normal1"/>
        <w:jc w:val="both"/>
        <w:rPr>
          <w:rFonts w:cs="Arial"/>
          <w:szCs w:val="24"/>
          <w:lang w:val="en-GB"/>
        </w:rPr>
      </w:pPr>
    </w:p>
    <w:p w14:paraId="02671AB1" w14:textId="792BAA37" w:rsidR="00663512" w:rsidRPr="00E42B56" w:rsidRDefault="00663512" w:rsidP="00663512">
      <w:pPr>
        <w:pStyle w:val="Normal1"/>
        <w:jc w:val="both"/>
        <w:rPr>
          <w:rFonts w:cs="Arial"/>
          <w:bCs/>
          <w:szCs w:val="24"/>
          <w:lang w:val="en-GB"/>
        </w:rPr>
      </w:pPr>
      <w:r w:rsidRPr="00E42B56">
        <w:rPr>
          <w:rFonts w:cs="Arial"/>
          <w:bCs/>
          <w:szCs w:val="24"/>
          <w:lang w:val="en-GB"/>
        </w:rPr>
        <w:t xml:space="preserve">Reports of related and unexpected SAEs </w:t>
      </w:r>
      <w:r w:rsidR="008B7473" w:rsidRPr="00E42B56">
        <w:rPr>
          <w:rFonts w:cs="Arial"/>
          <w:bCs/>
          <w:szCs w:val="24"/>
          <w:lang w:val="en-GB"/>
        </w:rPr>
        <w:t xml:space="preserve">will </w:t>
      </w:r>
      <w:r w:rsidRPr="00E42B56">
        <w:rPr>
          <w:rFonts w:cs="Arial"/>
          <w:bCs/>
          <w:szCs w:val="24"/>
          <w:lang w:val="en-GB"/>
        </w:rPr>
        <w:t>be submitted within 15 days of the Chief Investigator becoming aware of the event, using the NRES SAE form for</w:t>
      </w:r>
      <w:r w:rsidR="000F1A06" w:rsidRPr="00E42B56">
        <w:rPr>
          <w:rFonts w:cs="Arial"/>
          <w:bCs/>
          <w:szCs w:val="24"/>
          <w:lang w:val="en-GB"/>
        </w:rPr>
        <w:t xml:space="preserve"> non-investigational </w:t>
      </w:r>
      <w:r w:rsidR="00BF42E7" w:rsidRPr="00E42B56">
        <w:rPr>
          <w:rFonts w:cs="Arial"/>
          <w:bCs/>
          <w:szCs w:val="24"/>
          <w:lang w:val="en-GB"/>
        </w:rPr>
        <w:t>medicinal product (</w:t>
      </w:r>
      <w:r w:rsidRPr="00E42B56">
        <w:rPr>
          <w:rFonts w:cs="Arial"/>
          <w:bCs/>
          <w:szCs w:val="24"/>
          <w:lang w:val="en-GB"/>
        </w:rPr>
        <w:t>non-IMP</w:t>
      </w:r>
      <w:r w:rsidR="00BF42E7" w:rsidRPr="00E42B56">
        <w:rPr>
          <w:rFonts w:cs="Arial"/>
          <w:bCs/>
          <w:szCs w:val="24"/>
          <w:lang w:val="en-GB"/>
        </w:rPr>
        <w:t xml:space="preserve">) </w:t>
      </w:r>
      <w:r w:rsidRPr="00E42B56">
        <w:rPr>
          <w:rFonts w:cs="Arial"/>
          <w:bCs/>
          <w:szCs w:val="24"/>
          <w:lang w:val="en-GB"/>
        </w:rPr>
        <w:t xml:space="preserve">studies.  The Chief Investigator </w:t>
      </w:r>
      <w:r w:rsidR="008B7473" w:rsidRPr="00E42B56">
        <w:rPr>
          <w:rFonts w:cs="Arial"/>
          <w:bCs/>
          <w:szCs w:val="24"/>
          <w:lang w:val="en-GB"/>
        </w:rPr>
        <w:t xml:space="preserve">will </w:t>
      </w:r>
      <w:r w:rsidRPr="00E42B56">
        <w:rPr>
          <w:rFonts w:cs="Arial"/>
          <w:bCs/>
          <w:szCs w:val="24"/>
          <w:lang w:val="en-GB"/>
        </w:rPr>
        <w:t xml:space="preserve">also notify the Sponsor of all </w:t>
      </w:r>
      <w:r w:rsidR="0045359F" w:rsidRPr="00E42B56">
        <w:rPr>
          <w:rFonts w:cs="Arial"/>
          <w:bCs/>
          <w:szCs w:val="24"/>
          <w:lang w:val="en-GB"/>
        </w:rPr>
        <w:t xml:space="preserve">related and unexpected </w:t>
      </w:r>
      <w:r w:rsidRPr="00E42B56">
        <w:rPr>
          <w:rFonts w:cs="Arial"/>
          <w:bCs/>
          <w:szCs w:val="24"/>
          <w:lang w:val="en-GB"/>
        </w:rPr>
        <w:t>SAEs.</w:t>
      </w:r>
    </w:p>
    <w:p w14:paraId="4877AC9A" w14:textId="77777777" w:rsidR="00663512" w:rsidRPr="00E42B56" w:rsidRDefault="00663512" w:rsidP="00663512">
      <w:pPr>
        <w:pStyle w:val="Normal1"/>
        <w:jc w:val="both"/>
        <w:rPr>
          <w:rFonts w:cs="Arial"/>
          <w:szCs w:val="24"/>
          <w:lang w:val="en-GB"/>
        </w:rPr>
      </w:pPr>
    </w:p>
    <w:p w14:paraId="3225618C" w14:textId="3F8428EB" w:rsidR="00663512" w:rsidRPr="00E42B56" w:rsidRDefault="00663512" w:rsidP="00663512">
      <w:pPr>
        <w:pStyle w:val="Normal1"/>
        <w:jc w:val="both"/>
        <w:rPr>
          <w:rFonts w:cs="Arial"/>
          <w:bCs/>
          <w:szCs w:val="24"/>
          <w:lang w:val="en-GB"/>
        </w:rPr>
      </w:pPr>
      <w:r w:rsidRPr="00E42B56">
        <w:rPr>
          <w:rFonts w:cs="Arial"/>
          <w:bCs/>
          <w:szCs w:val="24"/>
          <w:lang w:val="en-GB"/>
        </w:rPr>
        <w:t xml:space="preserve">Local investigators </w:t>
      </w:r>
      <w:r w:rsidR="008B7473" w:rsidRPr="00E42B56">
        <w:rPr>
          <w:rFonts w:cs="Arial"/>
          <w:bCs/>
          <w:szCs w:val="24"/>
          <w:lang w:val="en-GB"/>
        </w:rPr>
        <w:t xml:space="preserve">will </w:t>
      </w:r>
      <w:r w:rsidRPr="00E42B56">
        <w:rPr>
          <w:rFonts w:cs="Arial"/>
          <w:bCs/>
          <w:szCs w:val="24"/>
          <w:lang w:val="en-GB"/>
        </w:rPr>
        <w:t>report any SAEs as required by their Local Research Ethics Committee, Sponsor and/or Research &amp; Development Office.</w:t>
      </w:r>
    </w:p>
    <w:p w14:paraId="4C22A220" w14:textId="730A2BDE" w:rsidR="00187F3E" w:rsidRPr="007B3B90" w:rsidRDefault="00187F3E" w:rsidP="00663512">
      <w:pPr>
        <w:pStyle w:val="Normal1"/>
        <w:jc w:val="both"/>
        <w:rPr>
          <w:rFonts w:cs="Arial"/>
          <w:bCs/>
          <w:szCs w:val="24"/>
          <w:lang w:val="en-GB"/>
        </w:rPr>
      </w:pPr>
    </w:p>
    <w:p w14:paraId="09FCA786" w14:textId="77777777" w:rsidR="00D03ACF" w:rsidRDefault="00187F3E" w:rsidP="00E42B56">
      <w:pPr>
        <w:pStyle w:val="Bullet3"/>
        <w:numPr>
          <w:ilvl w:val="0"/>
          <w:numId w:val="0"/>
        </w:numPr>
        <w:spacing w:after="0"/>
        <w:jc w:val="both"/>
        <w:rPr>
          <w:rFonts w:cs="Arial"/>
          <w:sz w:val="24"/>
          <w:szCs w:val="24"/>
          <w:lang w:val="en-GB"/>
        </w:rPr>
      </w:pPr>
      <w:r w:rsidRPr="00E42B56">
        <w:rPr>
          <w:rFonts w:cs="Arial"/>
          <w:sz w:val="24"/>
          <w:szCs w:val="24"/>
          <w:lang w:val="en-GB"/>
        </w:rPr>
        <w:t xml:space="preserve">Adverse events (both expected and unexpected), will be subject to scrutiny by an independent safety committee chaired by Professor Rob Sayers, Professor of Vascular Surgery, University of Leicester and Past President of the Vascular Society and include a patient representative, an independent vascular nurse specialist and statistical input, to ensure the adverse event rate is within acceptable limits according to best current evidence. </w:t>
      </w:r>
    </w:p>
    <w:p w14:paraId="4D7D7E5F" w14:textId="77777777" w:rsidR="00D03ACF" w:rsidRDefault="00D03ACF" w:rsidP="00E42B56">
      <w:pPr>
        <w:pStyle w:val="Bullet3"/>
        <w:numPr>
          <w:ilvl w:val="0"/>
          <w:numId w:val="0"/>
        </w:numPr>
        <w:spacing w:after="0"/>
        <w:jc w:val="both"/>
        <w:rPr>
          <w:rFonts w:cs="Arial"/>
          <w:sz w:val="24"/>
          <w:szCs w:val="24"/>
          <w:lang w:val="en-GB"/>
        </w:rPr>
      </w:pPr>
    </w:p>
    <w:p w14:paraId="5F96E417" w14:textId="3CB3818B" w:rsidR="00187F3E" w:rsidRPr="00E42B56" w:rsidRDefault="00187F3E" w:rsidP="00E42B56">
      <w:pPr>
        <w:pStyle w:val="Bullet3"/>
        <w:numPr>
          <w:ilvl w:val="0"/>
          <w:numId w:val="0"/>
        </w:numPr>
        <w:spacing w:after="0"/>
        <w:jc w:val="both"/>
        <w:rPr>
          <w:rFonts w:cs="Arial"/>
          <w:sz w:val="24"/>
          <w:szCs w:val="24"/>
          <w:lang w:val="en-GB"/>
        </w:rPr>
      </w:pPr>
      <w:r w:rsidRPr="00E42B56">
        <w:rPr>
          <w:rFonts w:cs="Arial"/>
          <w:sz w:val="24"/>
          <w:szCs w:val="24"/>
          <w:lang w:val="en-GB"/>
        </w:rPr>
        <w:t>Serious unexpected adverse events will be reported to the sponsor and ethics committee within 24 hours as standard protocol. The oversight committee will also have access to patient feedback from the focus groups.</w:t>
      </w:r>
    </w:p>
    <w:p w14:paraId="6841D0E4" w14:textId="77777777" w:rsidR="00187F3E" w:rsidRPr="007B3B90" w:rsidRDefault="00187F3E" w:rsidP="00663512">
      <w:pPr>
        <w:pStyle w:val="Normal1"/>
        <w:jc w:val="both"/>
        <w:rPr>
          <w:rFonts w:cs="Arial"/>
          <w:bCs/>
          <w:szCs w:val="24"/>
          <w:lang w:val="en-GB"/>
        </w:rPr>
      </w:pPr>
    </w:p>
    <w:p w14:paraId="5F1BFAEB" w14:textId="77777777" w:rsidR="00663512" w:rsidRPr="007B3B90" w:rsidRDefault="00663512" w:rsidP="00663512">
      <w:pPr>
        <w:pStyle w:val="Normal1"/>
        <w:jc w:val="both"/>
        <w:rPr>
          <w:rFonts w:cs="Arial"/>
          <w:bCs/>
          <w:sz w:val="22"/>
          <w:szCs w:val="22"/>
          <w:lang w:val="en-GB"/>
        </w:rPr>
      </w:pPr>
    </w:p>
    <w:p w14:paraId="4F75F903" w14:textId="77777777" w:rsidR="00663512" w:rsidRPr="007B3B90" w:rsidRDefault="00663512"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r w:rsidRPr="007B3B90">
        <w:rPr>
          <w:b/>
          <w:bCs/>
        </w:rPr>
        <w:t>Contact details for reporting SAEs</w:t>
      </w:r>
    </w:p>
    <w:p w14:paraId="7CE69941" w14:textId="79E1E6AB" w:rsidR="008B7473" w:rsidRPr="007B3B90" w:rsidRDefault="008B7473" w:rsidP="000F424D">
      <w:pPr>
        <w:pBdr>
          <w:top w:val="single" w:sz="4" w:space="11" w:color="auto"/>
          <w:left w:val="single" w:sz="4" w:space="11" w:color="auto"/>
          <w:bottom w:val="single" w:sz="4" w:space="11" w:color="auto"/>
          <w:right w:val="single" w:sz="4" w:space="11" w:color="auto"/>
        </w:pBdr>
        <w:shd w:val="clear" w:color="auto" w:fill="FFE7F3"/>
        <w:jc w:val="center"/>
        <w:rPr>
          <w:b/>
          <w:bCs/>
        </w:rPr>
      </w:pPr>
    </w:p>
    <w:p w14:paraId="0A3E06AA" w14:textId="3D97A01F" w:rsidR="00663512" w:rsidRPr="007B3B90" w:rsidRDefault="00663512" w:rsidP="000F424D">
      <w:pPr>
        <w:pBdr>
          <w:top w:val="single" w:sz="4" w:space="11" w:color="auto"/>
          <w:left w:val="single" w:sz="4" w:space="11" w:color="auto"/>
          <w:bottom w:val="single" w:sz="4" w:space="11" w:color="auto"/>
          <w:right w:val="single" w:sz="4" w:space="11" w:color="auto"/>
        </w:pBdr>
        <w:shd w:val="clear" w:color="auto" w:fill="FFE7F3"/>
        <w:jc w:val="center"/>
        <w:rPr>
          <w:b/>
          <w:bCs/>
        </w:rPr>
      </w:pPr>
      <w:r w:rsidRPr="007B3B90">
        <w:rPr>
          <w:b/>
          <w:bCs/>
        </w:rPr>
        <w:t>CI email (and contact details below)</w:t>
      </w:r>
      <w:r w:rsidR="000F424D" w:rsidRPr="007B3B90">
        <w:rPr>
          <w:b/>
          <w:bCs/>
        </w:rPr>
        <w:t xml:space="preserve"> </w:t>
      </w:r>
    </w:p>
    <w:p w14:paraId="37A01CA9" w14:textId="77777777" w:rsidR="00943D5B" w:rsidRPr="007B3B90" w:rsidRDefault="00663512"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r w:rsidRPr="007B3B90">
        <w:rPr>
          <w:b/>
          <w:bCs/>
        </w:rPr>
        <w:t xml:space="preserve">Please send SAE forms to: </w:t>
      </w:r>
    </w:p>
    <w:p w14:paraId="0E7EBE01" w14:textId="77777777" w:rsidR="000F424D" w:rsidRPr="007B3B90" w:rsidRDefault="00943D5B"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r w:rsidRPr="007B3B90">
        <w:rPr>
          <w:b/>
          <w:bCs/>
        </w:rPr>
        <w:t xml:space="preserve">Colin Bicknell </w:t>
      </w:r>
    </w:p>
    <w:p w14:paraId="0892582A" w14:textId="66D856A8" w:rsidR="00663512" w:rsidRPr="007B3B90" w:rsidRDefault="000F424D"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r w:rsidRPr="007B3B90">
        <w:rPr>
          <w:b/>
          <w:bCs/>
        </w:rPr>
        <w:t xml:space="preserve">Email: </w:t>
      </w:r>
      <w:hyperlink r:id="rId15" w:history="1">
        <w:r w:rsidR="001F0286" w:rsidRPr="00DE2CBC">
          <w:rPr>
            <w:rStyle w:val="Hyperlink"/>
          </w:rPr>
          <w:t>RGIT@imperial.ac.uk</w:t>
        </w:r>
      </w:hyperlink>
    </w:p>
    <w:p w14:paraId="714D03C5" w14:textId="17EAEF89" w:rsidR="00663512" w:rsidRPr="007B3B90" w:rsidRDefault="00663512" w:rsidP="00663512">
      <w:pPr>
        <w:pBdr>
          <w:top w:val="single" w:sz="4" w:space="11" w:color="auto"/>
          <w:left w:val="single" w:sz="4" w:space="11" w:color="auto"/>
          <w:bottom w:val="single" w:sz="4" w:space="11" w:color="auto"/>
          <w:right w:val="single" w:sz="4" w:space="11" w:color="auto"/>
        </w:pBdr>
        <w:shd w:val="clear" w:color="auto" w:fill="FFE7F3"/>
        <w:jc w:val="center"/>
      </w:pPr>
      <w:r w:rsidRPr="007B3B90">
        <w:rPr>
          <w:b/>
          <w:bCs/>
        </w:rPr>
        <w:lastRenderedPageBreak/>
        <w:t xml:space="preserve">Tel: </w:t>
      </w:r>
      <w:r w:rsidR="001D6736" w:rsidRPr="007B3B90">
        <w:rPr>
          <w:b/>
          <w:bCs/>
        </w:rPr>
        <w:t xml:space="preserve">02033126072 </w:t>
      </w:r>
      <w:r w:rsidRPr="007B3B90">
        <w:rPr>
          <w:b/>
          <w:bCs/>
        </w:rPr>
        <w:t>(Mon to Fri 09.00 – 17.00)</w:t>
      </w:r>
    </w:p>
    <w:p w14:paraId="32968578" w14:textId="7EBACE53" w:rsidR="00663512" w:rsidRPr="007B3B90" w:rsidRDefault="00663512" w:rsidP="00663512"/>
    <w:p w14:paraId="5F8A38DE" w14:textId="77777777" w:rsidR="00943D5B" w:rsidRPr="007B3B90" w:rsidRDefault="00943D5B" w:rsidP="00663512"/>
    <w:p w14:paraId="538B0B75" w14:textId="77777777" w:rsidR="00663512" w:rsidRPr="007B3B90" w:rsidRDefault="00663512" w:rsidP="00D057F1">
      <w:pPr>
        <w:pStyle w:val="Heading1"/>
      </w:pPr>
      <w:bookmarkStart w:id="31" w:name="_Toc33089441"/>
      <w:bookmarkStart w:id="32" w:name="_Toc33098117"/>
      <w:r w:rsidRPr="007B3B90">
        <w:t>ASSESSMENT AND FOLLOW-UP</w:t>
      </w:r>
      <w:bookmarkEnd w:id="31"/>
      <w:bookmarkEnd w:id="32"/>
      <w:r w:rsidRPr="007B3B90">
        <w:t xml:space="preserve"> </w:t>
      </w:r>
    </w:p>
    <w:p w14:paraId="4E9BDFC9" w14:textId="77777777" w:rsidR="00AB1B09" w:rsidRPr="007B3B90" w:rsidRDefault="00AB1B09" w:rsidP="0042141D">
      <w:pPr>
        <w:pStyle w:val="Heading2"/>
        <w:rPr>
          <w:rStyle w:val="StyleArialBold"/>
          <w:b/>
        </w:rPr>
      </w:pPr>
    </w:p>
    <w:p w14:paraId="239A407A" w14:textId="494F533C" w:rsidR="00DF4A1D" w:rsidRPr="007B3B90" w:rsidRDefault="00DF4A1D" w:rsidP="00DF4A1D">
      <w:pPr>
        <w:tabs>
          <w:tab w:val="left" w:pos="3402"/>
          <w:tab w:val="left" w:pos="9639"/>
          <w:tab w:val="left" w:pos="9781"/>
          <w:tab w:val="left" w:pos="10065"/>
        </w:tabs>
        <w:spacing w:after="120"/>
        <w:ind w:right="395"/>
        <w:jc w:val="both"/>
        <w:rPr>
          <w:rFonts w:cs="Times CE"/>
          <w:b/>
          <w:bCs/>
        </w:rPr>
      </w:pPr>
      <w:r w:rsidRPr="007B3B90">
        <w:rPr>
          <w:rFonts w:cs="Times CE"/>
          <w:b/>
          <w:bCs/>
        </w:rPr>
        <w:t>DATA COLLECTION:</w:t>
      </w:r>
    </w:p>
    <w:p w14:paraId="0344BC27" w14:textId="77777777" w:rsidR="00B93F8F" w:rsidRPr="007B3B90" w:rsidRDefault="00B93F8F" w:rsidP="00DF4A1D">
      <w:pPr>
        <w:tabs>
          <w:tab w:val="left" w:pos="3402"/>
          <w:tab w:val="left" w:pos="9639"/>
          <w:tab w:val="left" w:pos="9781"/>
          <w:tab w:val="left" w:pos="10065"/>
        </w:tabs>
        <w:spacing w:after="120"/>
        <w:ind w:right="395"/>
        <w:jc w:val="both"/>
        <w:rPr>
          <w:rFonts w:cs="Times CE"/>
          <w:u w:val="single"/>
        </w:rPr>
      </w:pPr>
    </w:p>
    <w:p w14:paraId="08888067" w14:textId="68359695" w:rsidR="00DF4A1D" w:rsidRDefault="001F0286" w:rsidP="00E42B56">
      <w:pPr>
        <w:tabs>
          <w:tab w:val="left" w:pos="3402"/>
          <w:tab w:val="left" w:pos="9639"/>
          <w:tab w:val="left" w:pos="9781"/>
          <w:tab w:val="left" w:pos="10065"/>
        </w:tabs>
        <w:spacing w:after="120"/>
        <w:jc w:val="both"/>
        <w:rPr>
          <w:rFonts w:cs="Times CE"/>
        </w:rPr>
      </w:pPr>
      <w:r>
        <w:rPr>
          <w:rFonts w:cs="Times CE"/>
        </w:rPr>
        <w:t>Source data will be collected in source documents which will be provided by the study co-ordinating centre.</w:t>
      </w:r>
      <w:r w:rsidR="0087049B">
        <w:rPr>
          <w:rFonts w:cs="Times CE"/>
        </w:rPr>
        <w:t xml:space="preserve"> </w:t>
      </w:r>
      <w:r w:rsidR="00071577" w:rsidRPr="007B3B90">
        <w:rPr>
          <w:rFonts w:cs="Times CE"/>
        </w:rPr>
        <w:t>This data will then be transferred to a secure online database (</w:t>
      </w:r>
      <w:proofErr w:type="spellStart"/>
      <w:r w:rsidR="00071577" w:rsidRPr="007B3B90">
        <w:rPr>
          <w:rFonts w:cs="Times CE"/>
        </w:rPr>
        <w:t>REDCap</w:t>
      </w:r>
      <w:proofErr w:type="spellEnd"/>
      <w:r w:rsidR="00071577" w:rsidRPr="007B3B90">
        <w:rPr>
          <w:rFonts w:cs="Times CE"/>
        </w:rPr>
        <w:t xml:space="preserve">). </w:t>
      </w:r>
      <w:r w:rsidR="0087049B" w:rsidRPr="0087049B">
        <w:rPr>
          <w:rFonts w:cs="Times CE"/>
        </w:rPr>
        <w:t xml:space="preserve"> </w:t>
      </w:r>
      <w:r w:rsidR="0087049B" w:rsidRPr="007B3B90">
        <w:rPr>
          <w:rFonts w:cs="Times CE"/>
        </w:rPr>
        <w:t xml:space="preserve">The research nurses </w:t>
      </w:r>
      <w:r w:rsidR="0087049B">
        <w:rPr>
          <w:rFonts w:cs="Times CE"/>
        </w:rPr>
        <w:t xml:space="preserve">at each site </w:t>
      </w:r>
      <w:r w:rsidR="0087049B" w:rsidRPr="007B3B90">
        <w:rPr>
          <w:rFonts w:cs="Times CE"/>
        </w:rPr>
        <w:t>will be trained in their use</w:t>
      </w:r>
    </w:p>
    <w:p w14:paraId="008687F1" w14:textId="77777777" w:rsidR="0087049B" w:rsidRPr="007B3B90" w:rsidRDefault="0087049B" w:rsidP="00E42B56">
      <w:pPr>
        <w:tabs>
          <w:tab w:val="left" w:pos="3402"/>
          <w:tab w:val="left" w:pos="9639"/>
          <w:tab w:val="left" w:pos="9781"/>
          <w:tab w:val="left" w:pos="10065"/>
        </w:tabs>
        <w:spacing w:after="120"/>
        <w:jc w:val="both"/>
        <w:rPr>
          <w:rFonts w:cs="Times CE"/>
        </w:rPr>
      </w:pPr>
    </w:p>
    <w:p w14:paraId="77B2921B" w14:textId="6AABE899" w:rsidR="00DF4A1D" w:rsidRPr="007B3B90" w:rsidRDefault="00DF4A1D" w:rsidP="00E42B56">
      <w:pPr>
        <w:tabs>
          <w:tab w:val="left" w:pos="3402"/>
          <w:tab w:val="left" w:pos="9639"/>
          <w:tab w:val="left" w:pos="9781"/>
          <w:tab w:val="left" w:pos="10065"/>
        </w:tabs>
        <w:spacing w:after="120"/>
        <w:jc w:val="both"/>
        <w:rPr>
          <w:rFonts w:cs="Times CE"/>
        </w:rPr>
      </w:pPr>
      <w:r w:rsidRPr="007B3B90">
        <w:rPr>
          <w:rFonts w:cs="Times CE"/>
        </w:rPr>
        <w:t xml:space="preserve">For each patient, baseline data will be collected </w:t>
      </w:r>
      <w:r w:rsidR="007341F1" w:rsidRPr="007B3B90">
        <w:rPr>
          <w:rFonts w:cs="Times CE"/>
        </w:rPr>
        <w:t xml:space="preserve">by the research nurses </w:t>
      </w:r>
      <w:r w:rsidRPr="007B3B90">
        <w:rPr>
          <w:rFonts w:cs="Times CE"/>
        </w:rPr>
        <w:t xml:space="preserve">at the </w:t>
      </w:r>
      <w:r w:rsidR="007341F1" w:rsidRPr="007B3B90">
        <w:rPr>
          <w:rFonts w:cs="Times CE"/>
        </w:rPr>
        <w:t xml:space="preserve">routinely scheduled </w:t>
      </w:r>
      <w:r w:rsidRPr="007B3B90">
        <w:rPr>
          <w:rFonts w:cs="Times CE"/>
        </w:rPr>
        <w:t>pre-operative clinic visit</w:t>
      </w:r>
      <w:r w:rsidR="007341F1" w:rsidRPr="007B3B90">
        <w:rPr>
          <w:rFonts w:cs="Times CE"/>
        </w:rPr>
        <w:t xml:space="preserve">. This </w:t>
      </w:r>
      <w:r w:rsidR="00436B39">
        <w:rPr>
          <w:rFonts w:cs="Times CE"/>
        </w:rPr>
        <w:t>will</w:t>
      </w:r>
      <w:r w:rsidR="007341F1" w:rsidRPr="007B3B90">
        <w:rPr>
          <w:rFonts w:cs="Times CE"/>
        </w:rPr>
        <w:t xml:space="preserve"> </w:t>
      </w:r>
      <w:r w:rsidRPr="007B3B90">
        <w:rPr>
          <w:rFonts w:cs="Times CE"/>
        </w:rPr>
        <w:t>include demographic data, morphological characteristics of the aneurysm, functional activity data</w:t>
      </w:r>
      <w:r w:rsidR="007341F1" w:rsidRPr="007B3B90">
        <w:rPr>
          <w:rFonts w:cs="Times CE"/>
        </w:rPr>
        <w:t xml:space="preserve"> and details pertaining </w:t>
      </w:r>
      <w:r w:rsidR="00831A8B" w:rsidRPr="007B3B90">
        <w:rPr>
          <w:rFonts w:cs="Times CE"/>
        </w:rPr>
        <w:t xml:space="preserve">to </w:t>
      </w:r>
      <w:r w:rsidR="007341F1" w:rsidRPr="007B3B90">
        <w:rPr>
          <w:rFonts w:cs="Times CE"/>
        </w:rPr>
        <w:t>the patient’s social set up at home. B</w:t>
      </w:r>
      <w:r w:rsidRPr="007B3B90">
        <w:rPr>
          <w:rFonts w:cs="Times CE"/>
        </w:rPr>
        <w:t>aseline patient-reported data</w:t>
      </w:r>
      <w:r w:rsidR="00436B39" w:rsidRPr="007B3B90">
        <w:rPr>
          <w:rFonts w:cs="Times CE"/>
        </w:rPr>
        <w:t xml:space="preserve">  (</w:t>
      </w:r>
      <w:r w:rsidRPr="007B3B90">
        <w:rPr>
          <w:rFonts w:cs="Times CE"/>
        </w:rPr>
        <w:t>PROMS</w:t>
      </w:r>
      <w:r w:rsidR="00F463FF">
        <w:rPr>
          <w:rFonts w:cs="Times CE"/>
        </w:rPr>
        <w:t>)</w:t>
      </w:r>
      <w:r w:rsidR="007341F1" w:rsidRPr="007B3B90">
        <w:rPr>
          <w:rFonts w:cs="Times CE"/>
        </w:rPr>
        <w:t xml:space="preserve"> will also be registered</w:t>
      </w:r>
      <w:r w:rsidRPr="007B3B90">
        <w:rPr>
          <w:rFonts w:cs="Times CE"/>
        </w:rPr>
        <w:t>.</w:t>
      </w:r>
      <w:r w:rsidR="007341F1" w:rsidRPr="007B3B90">
        <w:rPr>
          <w:rFonts w:cs="Times CE"/>
        </w:rPr>
        <w:t xml:space="preserve"> Overall, data logging at this stage should not exceed 30 minutes and should form part of routine pre-operative assessment. </w:t>
      </w:r>
      <w:r w:rsidRPr="007B3B90">
        <w:rPr>
          <w:rFonts w:cs="Times CE"/>
        </w:rPr>
        <w:t>Any cancellations and/or rescheduling of patients will also be documented.</w:t>
      </w:r>
    </w:p>
    <w:p w14:paraId="189C19D6" w14:textId="5930B97C" w:rsidR="00DF4A1D" w:rsidRPr="007B3B90" w:rsidRDefault="00973752" w:rsidP="006E54CB">
      <w:pPr>
        <w:tabs>
          <w:tab w:val="left" w:pos="9639"/>
          <w:tab w:val="left" w:pos="9781"/>
          <w:tab w:val="left" w:pos="10065"/>
        </w:tabs>
        <w:spacing w:after="120"/>
        <w:jc w:val="both"/>
        <w:rPr>
          <w:rFonts w:cs="Times CE"/>
        </w:rPr>
      </w:pPr>
      <w:r w:rsidRPr="007B3B90">
        <w:rPr>
          <w:rFonts w:cs="Times CE"/>
        </w:rPr>
        <w:t xml:space="preserve">During the </w:t>
      </w:r>
      <w:r w:rsidR="00DF4A1D" w:rsidRPr="007B3B90">
        <w:rPr>
          <w:rFonts w:cs="Times CE"/>
        </w:rPr>
        <w:t xml:space="preserve">hospital stay the procedural details, use and specifics of post-operative and any high dependency care, date and time of discharge, reasons for delayed discharge and complications will be collected. Post-discharge, details of nurse consultation will be </w:t>
      </w:r>
      <w:r w:rsidR="00436B39" w:rsidRPr="007B3B90">
        <w:rPr>
          <w:rFonts w:cs="Times CE"/>
        </w:rPr>
        <w:t>recorded,</w:t>
      </w:r>
      <w:r w:rsidR="00DF4A1D" w:rsidRPr="007B3B90">
        <w:rPr>
          <w:rFonts w:cs="Times CE"/>
        </w:rPr>
        <w:t xml:space="preserve"> and any patient concerns documented. </w:t>
      </w:r>
    </w:p>
    <w:p w14:paraId="5F71F78D" w14:textId="018374E3" w:rsidR="00B93F8F" w:rsidRPr="007B3B90" w:rsidRDefault="00DF4A1D" w:rsidP="006E54CB">
      <w:pPr>
        <w:tabs>
          <w:tab w:val="left" w:pos="9639"/>
          <w:tab w:val="left" w:pos="9781"/>
          <w:tab w:val="left" w:pos="10065"/>
        </w:tabs>
        <w:spacing w:after="120"/>
        <w:jc w:val="both"/>
        <w:rPr>
          <w:rFonts w:cs="Times CE"/>
        </w:rPr>
      </w:pPr>
      <w:r w:rsidRPr="007B3B90">
        <w:rPr>
          <w:rFonts w:cs="Times CE"/>
          <w:bCs/>
        </w:rPr>
        <w:t xml:space="preserve">At </w:t>
      </w:r>
      <w:r w:rsidR="00B93F8F" w:rsidRPr="007B3B90">
        <w:rPr>
          <w:rFonts w:cs="Times CE"/>
          <w:bCs/>
        </w:rPr>
        <w:t xml:space="preserve">routine </w:t>
      </w:r>
      <w:r w:rsidR="00973752" w:rsidRPr="007B3B90">
        <w:rPr>
          <w:rFonts w:cs="Times CE"/>
          <w:bCs/>
        </w:rPr>
        <w:t>follow up visits</w:t>
      </w:r>
      <w:r w:rsidRPr="007B3B90">
        <w:rPr>
          <w:rFonts w:cs="Times CE"/>
          <w:bCs/>
        </w:rPr>
        <w:t xml:space="preserve"> </w:t>
      </w:r>
      <w:r w:rsidR="00D63007" w:rsidRPr="007B3B90">
        <w:rPr>
          <w:rFonts w:cs="Times CE"/>
          <w:bCs/>
        </w:rPr>
        <w:t>and telephone appointments, complications, adverse events, readmissions and reinterventions will be recorded as set out in appendix 1. P</w:t>
      </w:r>
      <w:r w:rsidRPr="007B3B90">
        <w:rPr>
          <w:rFonts w:cs="Times CE"/>
          <w:bCs/>
        </w:rPr>
        <w:t xml:space="preserve">articipants will complete </w:t>
      </w:r>
      <w:r w:rsidR="00245A60">
        <w:rPr>
          <w:rFonts w:cs="Times CE"/>
          <w:bCs/>
        </w:rPr>
        <w:t>well-being</w:t>
      </w:r>
      <w:r w:rsidR="00A55CCE">
        <w:rPr>
          <w:rFonts w:cs="Times CE"/>
          <w:bCs/>
        </w:rPr>
        <w:t xml:space="preserve"> and </w:t>
      </w:r>
      <w:r w:rsidR="007E4BA1">
        <w:rPr>
          <w:rFonts w:cs="Times CE"/>
          <w:bCs/>
        </w:rPr>
        <w:t xml:space="preserve">aneurysm specific </w:t>
      </w:r>
      <w:r w:rsidR="0068531F">
        <w:rPr>
          <w:rFonts w:cs="Times CE"/>
          <w:bCs/>
        </w:rPr>
        <w:t>q</w:t>
      </w:r>
      <w:r w:rsidR="00487407">
        <w:rPr>
          <w:rFonts w:cs="Times CE"/>
          <w:bCs/>
        </w:rPr>
        <w:t>uality of life</w:t>
      </w:r>
      <w:r w:rsidR="00A55CCE">
        <w:rPr>
          <w:rFonts w:cs="Times CE"/>
          <w:bCs/>
        </w:rPr>
        <w:t xml:space="preserve"> questionnaires. H</w:t>
      </w:r>
      <w:r w:rsidR="00F80411" w:rsidRPr="007B3B90">
        <w:rPr>
          <w:rFonts w:cs="Times CE"/>
        </w:rPr>
        <w:t>ealth resource use</w:t>
      </w:r>
      <w:r w:rsidR="00487407">
        <w:rPr>
          <w:rFonts w:cs="Times CE"/>
          <w:bCs/>
        </w:rPr>
        <w:t xml:space="preserve"> </w:t>
      </w:r>
      <w:r w:rsidR="0029407B">
        <w:rPr>
          <w:rFonts w:cs="Times CE"/>
          <w:bCs/>
        </w:rPr>
        <w:t>and</w:t>
      </w:r>
      <w:r w:rsidR="00DF4DED" w:rsidRPr="007B3B90">
        <w:rPr>
          <w:rFonts w:cs="Times CE"/>
          <w:bCs/>
        </w:rPr>
        <w:t xml:space="preserve"> </w:t>
      </w:r>
      <w:r w:rsidRPr="007B3B90">
        <w:rPr>
          <w:rFonts w:cs="Times CE"/>
        </w:rPr>
        <w:t>EQ</w:t>
      </w:r>
      <w:r w:rsidR="00DF4DED" w:rsidRPr="007B3B90">
        <w:rPr>
          <w:rFonts w:cs="Times CE"/>
        </w:rPr>
        <w:t>-</w:t>
      </w:r>
      <w:r w:rsidRPr="007B3B90">
        <w:rPr>
          <w:rFonts w:cs="Times CE"/>
        </w:rPr>
        <w:t>5D-5L</w:t>
      </w:r>
      <w:r w:rsidR="00DF4DED" w:rsidRPr="007B3B90">
        <w:rPr>
          <w:rFonts w:cs="Times CE"/>
        </w:rPr>
        <w:t xml:space="preserve"> health status</w:t>
      </w:r>
      <w:r w:rsidRPr="007B3B90">
        <w:rPr>
          <w:rFonts w:cs="Times CE"/>
        </w:rPr>
        <w:t xml:space="preserve"> questionnaire</w:t>
      </w:r>
      <w:r w:rsidR="00CC512C">
        <w:rPr>
          <w:rFonts w:cs="Times CE"/>
        </w:rPr>
        <w:t>s</w:t>
      </w:r>
      <w:r w:rsidR="00A55CCE">
        <w:rPr>
          <w:rFonts w:cs="Times CE"/>
        </w:rPr>
        <w:t xml:space="preserve"> will be administered to </w:t>
      </w:r>
      <w:r w:rsidR="005A1C09">
        <w:rPr>
          <w:rFonts w:cs="Times CE"/>
        </w:rPr>
        <w:t>better</w:t>
      </w:r>
      <w:r w:rsidR="00A55CCE">
        <w:rPr>
          <w:rFonts w:cs="Times CE"/>
        </w:rPr>
        <w:t xml:space="preserve"> </w:t>
      </w:r>
      <w:r w:rsidR="0029407B">
        <w:rPr>
          <w:rFonts w:cs="Times CE"/>
        </w:rPr>
        <w:t>delineate social</w:t>
      </w:r>
      <w:r w:rsidR="005A1C09">
        <w:rPr>
          <w:rFonts w:cs="Times CE"/>
        </w:rPr>
        <w:t xml:space="preserve"> </w:t>
      </w:r>
      <w:r w:rsidR="00D3483C">
        <w:rPr>
          <w:rFonts w:cs="Times CE"/>
        </w:rPr>
        <w:t>and informal care needs</w:t>
      </w:r>
      <w:r w:rsidR="00D63007" w:rsidRPr="007B3B90">
        <w:rPr>
          <w:rFonts w:cs="Times CE"/>
        </w:rPr>
        <w:t xml:space="preserve">, </w:t>
      </w:r>
      <w:r w:rsidR="00CC512C">
        <w:rPr>
          <w:rFonts w:cs="Times CE"/>
        </w:rPr>
        <w:t xml:space="preserve">as </w:t>
      </w:r>
      <w:r w:rsidR="00D63007" w:rsidRPr="007B3B90">
        <w:rPr>
          <w:rFonts w:cs="Times CE"/>
        </w:rPr>
        <w:t>set out in appendix 1</w:t>
      </w:r>
      <w:r w:rsidRPr="007B3B90">
        <w:rPr>
          <w:rFonts w:cs="Times CE"/>
        </w:rPr>
        <w:t xml:space="preserve">. </w:t>
      </w:r>
    </w:p>
    <w:p w14:paraId="3797DC51" w14:textId="57F45E19" w:rsidR="00DF4A1D" w:rsidRPr="007B3B90" w:rsidRDefault="00DF4A1D" w:rsidP="006E54CB">
      <w:pPr>
        <w:tabs>
          <w:tab w:val="left" w:pos="9639"/>
          <w:tab w:val="left" w:pos="9781"/>
          <w:tab w:val="left" w:pos="10065"/>
        </w:tabs>
        <w:spacing w:after="120"/>
        <w:jc w:val="both"/>
        <w:rPr>
          <w:rFonts w:cs="Times CE"/>
          <w:bCs/>
        </w:rPr>
      </w:pPr>
      <w:r w:rsidRPr="007B3B90">
        <w:rPr>
          <w:rFonts w:cs="Times CE"/>
          <w:bCs/>
        </w:rPr>
        <w:t xml:space="preserve">At the </w:t>
      </w:r>
      <w:r w:rsidR="007A38EA" w:rsidRPr="007B3B90">
        <w:rPr>
          <w:rFonts w:cs="Times CE"/>
          <w:bCs/>
        </w:rPr>
        <w:t>midpoint</w:t>
      </w:r>
      <w:r w:rsidRPr="007B3B90">
        <w:rPr>
          <w:rFonts w:cs="Times CE"/>
          <w:bCs/>
        </w:rPr>
        <w:t xml:space="preserve"> and end of the </w:t>
      </w:r>
      <w:r w:rsidR="00D13E7C" w:rsidRPr="007B3B90">
        <w:rPr>
          <w:rFonts w:cs="Times CE"/>
          <w:bCs/>
        </w:rPr>
        <w:t>study,</w:t>
      </w:r>
      <w:r w:rsidRPr="007B3B90">
        <w:rPr>
          <w:rFonts w:cs="Times CE"/>
          <w:bCs/>
        </w:rPr>
        <w:t xml:space="preserve"> patient focus groups, run by a </w:t>
      </w:r>
      <w:r w:rsidR="000A6210" w:rsidRPr="007B3B90">
        <w:rPr>
          <w:rFonts w:cs="Times CE"/>
          <w:bCs/>
        </w:rPr>
        <w:t>research fellow</w:t>
      </w:r>
      <w:r w:rsidRPr="007B3B90">
        <w:rPr>
          <w:rFonts w:cs="Times CE"/>
          <w:bCs/>
        </w:rPr>
        <w:t xml:space="preserve"> and involving surgical and managerial input, will be convened to review their experience and seek suggestions for further improvement of the pathway.</w:t>
      </w:r>
    </w:p>
    <w:p w14:paraId="53443DFC" w14:textId="3E7DA871" w:rsidR="008D57F5" w:rsidRDefault="00DF4A1D" w:rsidP="006E54CB">
      <w:pPr>
        <w:tabs>
          <w:tab w:val="left" w:pos="9639"/>
          <w:tab w:val="left" w:pos="9781"/>
          <w:tab w:val="left" w:pos="10065"/>
        </w:tabs>
        <w:spacing w:before="200" w:after="120"/>
        <w:jc w:val="both"/>
        <w:rPr>
          <w:rFonts w:cs="Times CE"/>
          <w:bCs/>
        </w:rPr>
      </w:pPr>
      <w:r w:rsidRPr="007B3B90">
        <w:rPr>
          <w:rFonts w:cs="Times CE"/>
          <w:bCs/>
        </w:rPr>
        <w:t>Patient re</w:t>
      </w:r>
      <w:r w:rsidR="007F1C75" w:rsidRPr="007B3B90">
        <w:rPr>
          <w:rFonts w:cs="Times CE"/>
          <w:bCs/>
        </w:rPr>
        <w:t>ported</w:t>
      </w:r>
      <w:r w:rsidRPr="007B3B90">
        <w:rPr>
          <w:rFonts w:cs="Times CE"/>
          <w:bCs/>
        </w:rPr>
        <w:t xml:space="preserve"> outcome measures (PROMs) have been developed and validated prior to this study </w:t>
      </w:r>
      <w:r w:rsidR="007F1C75" w:rsidRPr="007B3B90">
        <w:rPr>
          <w:rFonts w:cs="Times CE"/>
          <w:bCs/>
        </w:rPr>
        <w:t>in work involving</w:t>
      </w:r>
      <w:r w:rsidRPr="007B3B90">
        <w:rPr>
          <w:rFonts w:cs="Times CE"/>
          <w:bCs/>
        </w:rPr>
        <w:t xml:space="preserve"> one of the grant applicants (RH). With much evidence suggesting that disease-specific PROMs are more sensitive to change in surgical patients [18], a set of tools was developed to assess symptoms, quality of life and treatment satisfaction in patients with AAA, including those undergoing repair. [19</w:t>
      </w:r>
      <w:r w:rsidR="0092492E">
        <w:rPr>
          <w:rFonts w:cs="Times CE"/>
          <w:bCs/>
        </w:rPr>
        <w:t>-20</w:t>
      </w:r>
      <w:r w:rsidRPr="007B3B90">
        <w:rPr>
          <w:rFonts w:cs="Times CE"/>
          <w:bCs/>
        </w:rPr>
        <w:t xml:space="preserve">]. These PROMS will form a cornerstone of patient outcome measures in this study. </w:t>
      </w:r>
    </w:p>
    <w:p w14:paraId="5F42B8AF" w14:textId="20B23C5B" w:rsidR="008D57F5" w:rsidRDefault="00A90385" w:rsidP="006E54CB">
      <w:pPr>
        <w:tabs>
          <w:tab w:val="left" w:pos="9639"/>
          <w:tab w:val="left" w:pos="9781"/>
          <w:tab w:val="left" w:pos="10065"/>
        </w:tabs>
        <w:spacing w:before="200" w:after="120"/>
        <w:jc w:val="both"/>
        <w:rPr>
          <w:rFonts w:cs="Times CE"/>
          <w:bCs/>
        </w:rPr>
      </w:pPr>
      <w:r>
        <w:rPr>
          <w:rFonts w:cs="Times CE"/>
          <w:bCs/>
        </w:rPr>
        <w:t>Well-being</w:t>
      </w:r>
      <w:r w:rsidR="00080127">
        <w:rPr>
          <w:rFonts w:cs="Times CE"/>
          <w:bCs/>
        </w:rPr>
        <w:t xml:space="preserve"> (W-B16)</w:t>
      </w:r>
      <w:r w:rsidR="005B6BB2">
        <w:rPr>
          <w:rFonts w:cs="Times CE"/>
          <w:bCs/>
        </w:rPr>
        <w:t xml:space="preserve"> </w:t>
      </w:r>
      <w:r w:rsidR="00980724">
        <w:rPr>
          <w:rFonts w:cs="Times CE"/>
          <w:bCs/>
        </w:rPr>
        <w:t xml:space="preserve">questionnaires </w:t>
      </w:r>
      <w:r w:rsidR="005B6BB2">
        <w:rPr>
          <w:rFonts w:cs="Times CE"/>
          <w:bCs/>
        </w:rPr>
        <w:t xml:space="preserve">will be used to </w:t>
      </w:r>
      <w:r w:rsidR="00873123">
        <w:rPr>
          <w:rFonts w:cs="Times CE"/>
          <w:bCs/>
        </w:rPr>
        <w:t xml:space="preserve">measure depressed and anxious mood, energy, positive </w:t>
      </w:r>
      <w:r w:rsidR="00436B39">
        <w:rPr>
          <w:rFonts w:cs="Times CE"/>
          <w:bCs/>
        </w:rPr>
        <w:t>well-being,</w:t>
      </w:r>
      <w:r w:rsidR="00873123">
        <w:rPr>
          <w:rFonts w:cs="Times CE"/>
          <w:bCs/>
        </w:rPr>
        <w:t xml:space="preserve"> and stre</w:t>
      </w:r>
      <w:r w:rsidR="00980724">
        <w:rPr>
          <w:rFonts w:cs="Times CE"/>
          <w:bCs/>
        </w:rPr>
        <w:t>ss</w:t>
      </w:r>
      <w:r w:rsidR="001F0286">
        <w:rPr>
          <w:rFonts w:cs="Times CE"/>
          <w:bCs/>
        </w:rPr>
        <w:t xml:space="preserve"> at baseline, at 2-4 days post-op and 30 days.</w:t>
      </w:r>
    </w:p>
    <w:p w14:paraId="3A103795" w14:textId="434D0C0C" w:rsidR="00984946" w:rsidRDefault="0024060A" w:rsidP="00984946">
      <w:pPr>
        <w:tabs>
          <w:tab w:val="left" w:pos="9639"/>
          <w:tab w:val="left" w:pos="9781"/>
          <w:tab w:val="left" w:pos="10065"/>
        </w:tabs>
        <w:spacing w:before="200" w:after="120"/>
        <w:jc w:val="both"/>
        <w:rPr>
          <w:rFonts w:cs="Times CE"/>
          <w:bCs/>
        </w:rPr>
      </w:pPr>
      <w:r>
        <w:rPr>
          <w:rFonts w:cs="Times CE"/>
          <w:bCs/>
        </w:rPr>
        <w:lastRenderedPageBreak/>
        <w:t>Similarly,</w:t>
      </w:r>
      <w:r w:rsidR="00984946" w:rsidRPr="00984946">
        <w:rPr>
          <w:rFonts w:cs="Times CE"/>
          <w:bCs/>
        </w:rPr>
        <w:t xml:space="preserve"> </w:t>
      </w:r>
      <w:r w:rsidR="00984946">
        <w:rPr>
          <w:rFonts w:cs="Times CE"/>
          <w:bCs/>
        </w:rPr>
        <w:t xml:space="preserve">the </w:t>
      </w:r>
      <w:r w:rsidR="00984946" w:rsidRPr="007B3B90">
        <w:rPr>
          <w:rFonts w:cs="Times CE"/>
          <w:bCs/>
        </w:rPr>
        <w:t>Aneurysm Treatment Satisfaction Questionnaire (</w:t>
      </w:r>
      <w:proofErr w:type="spellStart"/>
      <w:r w:rsidR="00984946" w:rsidRPr="007B3B90">
        <w:rPr>
          <w:rFonts w:cs="Times CE"/>
          <w:bCs/>
        </w:rPr>
        <w:t>AneurysmTSQ</w:t>
      </w:r>
      <w:proofErr w:type="spellEnd"/>
      <w:r w:rsidR="00984946" w:rsidRPr="007B3B90">
        <w:rPr>
          <w:rFonts w:cs="Times CE"/>
          <w:bCs/>
        </w:rPr>
        <w:t xml:space="preserve">) </w:t>
      </w:r>
      <w:r w:rsidR="00984946">
        <w:rPr>
          <w:rFonts w:cs="Times CE"/>
          <w:bCs/>
        </w:rPr>
        <w:t xml:space="preserve">will be recorded at baseline in patients who (a) have had active monitoring of their aneurysm for over 2 months prior to decision to undergo </w:t>
      </w:r>
      <w:r w:rsidR="00436B39">
        <w:rPr>
          <w:rFonts w:cs="Times CE"/>
          <w:bCs/>
        </w:rPr>
        <w:t>repair and</w:t>
      </w:r>
      <w:r w:rsidR="00984946">
        <w:rPr>
          <w:rFonts w:cs="Times CE"/>
          <w:bCs/>
        </w:rPr>
        <w:t xml:space="preserve">/or patients who (b) have undergone assessment and treatment of their comorbidities as part of their work-up for AAA repair. Where this is not the case, </w:t>
      </w:r>
      <w:proofErr w:type="spellStart"/>
      <w:r w:rsidR="00984946" w:rsidRPr="007B3B90">
        <w:rPr>
          <w:rFonts w:cs="Times CE"/>
          <w:bCs/>
        </w:rPr>
        <w:t>Aneurysm</w:t>
      </w:r>
      <w:r w:rsidR="00216FF4">
        <w:rPr>
          <w:rFonts w:cs="Times CE"/>
          <w:bCs/>
        </w:rPr>
        <w:t>TS</w:t>
      </w:r>
      <w:r w:rsidR="00984946" w:rsidRPr="007B3B90">
        <w:rPr>
          <w:rFonts w:cs="Times CE"/>
          <w:bCs/>
        </w:rPr>
        <w:t>Q</w:t>
      </w:r>
      <w:proofErr w:type="spellEnd"/>
      <w:r w:rsidR="00984946">
        <w:rPr>
          <w:rFonts w:cs="Times CE"/>
          <w:bCs/>
        </w:rPr>
        <w:t xml:space="preserve"> will be recorded at 30 days, 3 and 6 months. </w:t>
      </w:r>
    </w:p>
    <w:p w14:paraId="75C3970B" w14:textId="36DAC34F" w:rsidR="00931DF6" w:rsidRDefault="00C77A0C" w:rsidP="00F63733">
      <w:pPr>
        <w:tabs>
          <w:tab w:val="left" w:pos="9639"/>
          <w:tab w:val="left" w:pos="9781"/>
          <w:tab w:val="left" w:pos="10065"/>
        </w:tabs>
        <w:spacing w:before="200" w:after="120"/>
        <w:jc w:val="both"/>
        <w:rPr>
          <w:rFonts w:cs="Times CE"/>
          <w:bCs/>
        </w:rPr>
      </w:pPr>
      <w:r>
        <w:rPr>
          <w:rFonts w:cs="Times CE"/>
          <w:bCs/>
        </w:rPr>
        <w:t>EQ</w:t>
      </w:r>
      <w:r w:rsidR="00365738">
        <w:rPr>
          <w:rFonts w:cs="Times CE"/>
          <w:bCs/>
        </w:rPr>
        <w:t>-</w:t>
      </w:r>
      <w:r>
        <w:rPr>
          <w:rFonts w:cs="Times CE"/>
          <w:bCs/>
        </w:rPr>
        <w:t>5D</w:t>
      </w:r>
      <w:r w:rsidR="00365738">
        <w:rPr>
          <w:rFonts w:cs="Times CE"/>
          <w:bCs/>
        </w:rPr>
        <w:t>-</w:t>
      </w:r>
      <w:r>
        <w:rPr>
          <w:rFonts w:cs="Times CE"/>
          <w:bCs/>
        </w:rPr>
        <w:t xml:space="preserve">5L </w:t>
      </w:r>
      <w:r w:rsidRPr="007B3B90">
        <w:rPr>
          <w:rFonts w:cs="Times CE"/>
        </w:rPr>
        <w:t>health status questionnaire</w:t>
      </w:r>
      <w:r>
        <w:rPr>
          <w:rFonts w:cs="Times CE"/>
        </w:rPr>
        <w:t>s</w:t>
      </w:r>
      <w:r>
        <w:rPr>
          <w:rFonts w:cs="Times CE"/>
          <w:bCs/>
        </w:rPr>
        <w:t xml:space="preserve"> will be administered at</w:t>
      </w:r>
      <w:r w:rsidR="00365738">
        <w:rPr>
          <w:rFonts w:cs="Times CE"/>
          <w:bCs/>
        </w:rPr>
        <w:t xml:space="preserve"> baseline, 3- and 6-months.</w:t>
      </w:r>
      <w:r>
        <w:rPr>
          <w:rFonts w:cs="Times CE"/>
          <w:bCs/>
        </w:rPr>
        <w:t xml:space="preserve"> </w:t>
      </w:r>
    </w:p>
    <w:p w14:paraId="0FA5CFC9" w14:textId="589268FD" w:rsidR="00DF4A1D" w:rsidRPr="007B3B90" w:rsidRDefault="00DF4A1D" w:rsidP="006E54CB">
      <w:pPr>
        <w:tabs>
          <w:tab w:val="left" w:pos="9639"/>
          <w:tab w:val="left" w:pos="9781"/>
          <w:tab w:val="left" w:pos="10065"/>
        </w:tabs>
        <w:spacing w:after="120"/>
        <w:jc w:val="both"/>
        <w:rPr>
          <w:rFonts w:cs="Times CE"/>
          <w:bCs/>
        </w:rPr>
      </w:pPr>
      <w:r w:rsidRPr="007B3B90">
        <w:rPr>
          <w:rFonts w:cs="Times CE"/>
          <w:bCs/>
        </w:rPr>
        <w:t xml:space="preserve">Data collection for </w:t>
      </w:r>
      <w:r w:rsidR="005A7C47" w:rsidRPr="007B3B90">
        <w:rPr>
          <w:rFonts w:cs="Times CE"/>
          <w:bCs/>
        </w:rPr>
        <w:t xml:space="preserve">health </w:t>
      </w:r>
      <w:r w:rsidRPr="007B3B90">
        <w:rPr>
          <w:rFonts w:cs="Times CE"/>
          <w:bCs/>
        </w:rPr>
        <w:t xml:space="preserve">economics analysis: </w:t>
      </w:r>
      <w:r w:rsidR="005A7C47" w:rsidRPr="007B3B90">
        <w:rPr>
          <w:rFonts w:cs="Times CE"/>
          <w:bCs/>
        </w:rPr>
        <w:t>Resource use</w:t>
      </w:r>
      <w:r w:rsidRPr="007B3B90">
        <w:rPr>
          <w:rFonts w:cs="Times CE"/>
          <w:bCs/>
        </w:rPr>
        <w:t xml:space="preserve"> data will be collected to allow a </w:t>
      </w:r>
      <w:proofErr w:type="spellStart"/>
      <w:r w:rsidRPr="007B3B90">
        <w:rPr>
          <w:rFonts w:cs="Times CE"/>
          <w:bCs/>
        </w:rPr>
        <w:t>microcosting</w:t>
      </w:r>
      <w:proofErr w:type="spellEnd"/>
      <w:r w:rsidRPr="007B3B90">
        <w:rPr>
          <w:rFonts w:cs="Times CE"/>
          <w:bCs/>
        </w:rPr>
        <w:t xml:space="preserve"> approach, </w:t>
      </w:r>
      <w:r w:rsidR="005A7C47" w:rsidRPr="007B3B90">
        <w:rPr>
          <w:rFonts w:cs="Times CE"/>
          <w:bCs/>
        </w:rPr>
        <w:t>and</w:t>
      </w:r>
      <w:r w:rsidRPr="007B3B90">
        <w:rPr>
          <w:rFonts w:cs="Times CE"/>
          <w:bCs/>
        </w:rPr>
        <w:t xml:space="preserve"> accurate </w:t>
      </w:r>
      <w:r w:rsidR="005A7C47" w:rsidRPr="007B3B90">
        <w:rPr>
          <w:rFonts w:cs="Times CE"/>
          <w:bCs/>
        </w:rPr>
        <w:t xml:space="preserve">cost and </w:t>
      </w:r>
      <w:r w:rsidRPr="007B3B90">
        <w:rPr>
          <w:rFonts w:cs="Times CE"/>
          <w:bCs/>
        </w:rPr>
        <w:t xml:space="preserve">cost-effectiveness analyses. </w:t>
      </w:r>
      <w:r w:rsidR="005A7C47" w:rsidRPr="007B3B90">
        <w:rPr>
          <w:rFonts w:cs="Times CE"/>
          <w:bCs/>
        </w:rPr>
        <w:t>This will include</w:t>
      </w:r>
      <w:r w:rsidRPr="007B3B90">
        <w:rPr>
          <w:rFonts w:cs="Times CE"/>
          <w:bCs/>
        </w:rPr>
        <w:t xml:space="preserve"> accurate </w:t>
      </w:r>
      <w:r w:rsidR="00A96860" w:rsidRPr="007B3B90">
        <w:rPr>
          <w:rFonts w:cs="Times CE"/>
          <w:bCs/>
        </w:rPr>
        <w:t>measurement of hospital stay across</w:t>
      </w:r>
      <w:r w:rsidRPr="007B3B90">
        <w:rPr>
          <w:rFonts w:cs="Times CE"/>
          <w:bCs/>
        </w:rPr>
        <w:t xml:space="preserve"> HDU</w:t>
      </w:r>
      <w:r w:rsidR="00A96860" w:rsidRPr="007B3B90">
        <w:rPr>
          <w:rFonts w:cs="Times CE"/>
          <w:bCs/>
        </w:rPr>
        <w:t>,</w:t>
      </w:r>
      <w:r w:rsidRPr="007B3B90">
        <w:rPr>
          <w:rFonts w:cs="Times CE"/>
          <w:bCs/>
        </w:rPr>
        <w:t xml:space="preserve"> ITU</w:t>
      </w:r>
      <w:r w:rsidR="00A96860" w:rsidRPr="007B3B90">
        <w:rPr>
          <w:rFonts w:cs="Times CE"/>
          <w:bCs/>
        </w:rPr>
        <w:t xml:space="preserve"> and other wards</w:t>
      </w:r>
      <w:r w:rsidRPr="007B3B90">
        <w:rPr>
          <w:rFonts w:cs="Times CE"/>
          <w:bCs/>
        </w:rPr>
        <w:t xml:space="preserve">. </w:t>
      </w:r>
      <w:r w:rsidR="00A96860" w:rsidRPr="007B3B90">
        <w:rPr>
          <w:rFonts w:cs="Times CE"/>
          <w:bCs/>
        </w:rPr>
        <w:t>A s</w:t>
      </w:r>
      <w:r w:rsidRPr="007B3B90">
        <w:rPr>
          <w:rFonts w:cs="Times CE"/>
          <w:bCs/>
        </w:rPr>
        <w:t>urvey of standard equipment and consumables used for each patient intra</w:t>
      </w:r>
      <w:r w:rsidR="00784A62" w:rsidRPr="007B3B90">
        <w:rPr>
          <w:rFonts w:cs="Times CE"/>
          <w:bCs/>
        </w:rPr>
        <w:t>-</w:t>
      </w:r>
      <w:r w:rsidRPr="007B3B90">
        <w:rPr>
          <w:rFonts w:cs="Times CE"/>
          <w:bCs/>
        </w:rPr>
        <w:t xml:space="preserve"> and post-operatively and patient contact with medical staff during the admission will be undertaken.</w:t>
      </w:r>
    </w:p>
    <w:p w14:paraId="6721045F" w14:textId="6FCA2470" w:rsidR="00DF4A1D" w:rsidRPr="007B3B90" w:rsidRDefault="00DF4A1D" w:rsidP="0030599A">
      <w:pPr>
        <w:tabs>
          <w:tab w:val="left" w:pos="9639"/>
          <w:tab w:val="left" w:pos="9781"/>
          <w:tab w:val="left" w:pos="10065"/>
        </w:tabs>
        <w:spacing w:after="120"/>
        <w:jc w:val="both"/>
        <w:rPr>
          <w:rFonts w:cs="Arial"/>
          <w:bCs/>
        </w:rPr>
      </w:pPr>
      <w:r w:rsidRPr="006069E3">
        <w:rPr>
          <w:rFonts w:cs="Arial"/>
        </w:rPr>
        <w:t xml:space="preserve">The </w:t>
      </w:r>
      <w:r w:rsidRPr="007B3B90">
        <w:rPr>
          <w:rFonts w:cs="Arial"/>
        </w:rPr>
        <w:t xml:space="preserve">unit costs of medical equipment and consumables will be taken from manufacturers’ list prices and published sources. Staff salary costs will be taken from the PSSRU unit costs for health and social care. Costs related to </w:t>
      </w:r>
      <w:r w:rsidR="00A96860" w:rsidRPr="007B3B90">
        <w:rPr>
          <w:rFonts w:cs="Arial"/>
        </w:rPr>
        <w:t>hospital</w:t>
      </w:r>
      <w:r w:rsidRPr="007B3B90">
        <w:rPr>
          <w:rFonts w:cs="Arial"/>
        </w:rPr>
        <w:t xml:space="preserve"> stay will be taken from published NHS reference costs.</w:t>
      </w:r>
    </w:p>
    <w:p w14:paraId="78B18CBF" w14:textId="3B74512F" w:rsidR="00DF4A1D" w:rsidRPr="007B3B90" w:rsidRDefault="00DF4A1D" w:rsidP="0030599A">
      <w:pPr>
        <w:tabs>
          <w:tab w:val="left" w:pos="9639"/>
          <w:tab w:val="left" w:pos="9781"/>
          <w:tab w:val="left" w:pos="10065"/>
        </w:tabs>
        <w:spacing w:after="120"/>
        <w:jc w:val="both"/>
        <w:rPr>
          <w:rFonts w:cs="Times CE"/>
          <w:bCs/>
        </w:rPr>
      </w:pPr>
      <w:r w:rsidRPr="007B3B90">
        <w:rPr>
          <w:rFonts w:cs="Times"/>
          <w:bCs/>
        </w:rPr>
        <w:t xml:space="preserve">Destination of discharge will be recorded. </w:t>
      </w:r>
      <w:r w:rsidRPr="007B3B90">
        <w:rPr>
          <w:rFonts w:cs="Times CE"/>
          <w:bCs/>
        </w:rPr>
        <w:t xml:space="preserve">Following discharge, </w:t>
      </w:r>
      <w:r w:rsidRPr="007B3B90">
        <w:rPr>
          <w:rFonts w:cs="Times CE"/>
        </w:rPr>
        <w:t xml:space="preserve">the time taken for follow up and number of consultations </w:t>
      </w:r>
      <w:r w:rsidR="00D13E7C" w:rsidRPr="007B3B90">
        <w:rPr>
          <w:rFonts w:cs="Times CE"/>
        </w:rPr>
        <w:t xml:space="preserve">at GP surgery and hospital outpatients </w:t>
      </w:r>
      <w:r w:rsidRPr="007B3B90">
        <w:rPr>
          <w:rFonts w:cs="Times CE"/>
        </w:rPr>
        <w:t xml:space="preserve">will be documented to allow calculation of the burden on healthcare services and an effective cost analysis. </w:t>
      </w:r>
    </w:p>
    <w:p w14:paraId="4E716C3A" w14:textId="41DEBE2C" w:rsidR="00DF4A1D" w:rsidRPr="007B3B90" w:rsidRDefault="00DF4A1D" w:rsidP="0030599A">
      <w:pPr>
        <w:tabs>
          <w:tab w:val="left" w:pos="9639"/>
          <w:tab w:val="left" w:pos="9781"/>
          <w:tab w:val="left" w:pos="10065"/>
        </w:tabs>
        <w:spacing w:after="120"/>
        <w:jc w:val="both"/>
        <w:rPr>
          <w:rFonts w:cs="Times CE"/>
          <w:bCs/>
        </w:rPr>
      </w:pPr>
      <w:r w:rsidRPr="007B3B90">
        <w:rPr>
          <w:rFonts w:cs="Times CE"/>
        </w:rPr>
        <w:t>Patients, families and carers will be asked to keep a</w:t>
      </w:r>
      <w:r w:rsidR="005E7E8B">
        <w:rPr>
          <w:rFonts w:cs="Times CE"/>
        </w:rPr>
        <w:t xml:space="preserve"> record</w:t>
      </w:r>
      <w:r w:rsidRPr="007B3B90">
        <w:rPr>
          <w:rFonts w:cs="Times CE"/>
        </w:rPr>
        <w:t xml:space="preserve"> of medical care during the </w:t>
      </w:r>
      <w:r w:rsidR="00973752" w:rsidRPr="007B3B90">
        <w:rPr>
          <w:rFonts w:cs="Times CE"/>
        </w:rPr>
        <w:t>follow-up</w:t>
      </w:r>
      <w:r w:rsidRPr="007B3B90">
        <w:rPr>
          <w:rFonts w:cs="Times CE"/>
        </w:rPr>
        <w:t xml:space="preserve"> period after surgery allowing the patient and healthcare workers to complete details regarding readmission (with reasons, interventions and length of stay), GP visits and other health resource use (using similar case report forms to those developed as part of a recent trial for ruptured aneurysms – the IMPROVE trial, </w:t>
      </w:r>
      <w:r w:rsidR="00B57D89" w:rsidRPr="007B3B90">
        <w:rPr>
          <w:rFonts w:cs="Times CE"/>
        </w:rPr>
        <w:t xml:space="preserve">CI </w:t>
      </w:r>
      <w:r w:rsidRPr="007B3B90">
        <w:rPr>
          <w:rFonts w:cs="Times CE"/>
        </w:rPr>
        <w:t>JTP). Details of care will be collected on specifically designed case record forms.</w:t>
      </w:r>
      <w:r w:rsidRPr="007B3B90">
        <w:rPr>
          <w:rFonts w:cs="Times CE"/>
          <w:bCs/>
        </w:rPr>
        <w:t xml:space="preserve">  This mechanism will also allow costing of direct and indirect costs in care given by friends and family, including time taken of work for initial care and hospital appointments.</w:t>
      </w:r>
    </w:p>
    <w:p w14:paraId="65964E2D" w14:textId="77777777" w:rsidR="00DF4A1D" w:rsidRPr="007B3B90" w:rsidRDefault="00DF4A1D" w:rsidP="00AB1B09">
      <w:pPr>
        <w:tabs>
          <w:tab w:val="left" w:pos="9639"/>
          <w:tab w:val="left" w:pos="9781"/>
          <w:tab w:val="left" w:pos="10065"/>
        </w:tabs>
        <w:ind w:right="301"/>
        <w:jc w:val="both"/>
        <w:rPr>
          <w:rFonts w:cs="Times CE"/>
          <w:u w:val="single"/>
        </w:rPr>
      </w:pPr>
    </w:p>
    <w:p w14:paraId="4B7A3E23" w14:textId="77777777" w:rsidR="00DF4A1D" w:rsidRPr="007B3B90" w:rsidRDefault="00DF4A1D" w:rsidP="00AB1B09">
      <w:pPr>
        <w:tabs>
          <w:tab w:val="left" w:pos="9639"/>
          <w:tab w:val="left" w:pos="9781"/>
          <w:tab w:val="left" w:pos="10065"/>
        </w:tabs>
        <w:ind w:right="301"/>
        <w:jc w:val="both"/>
        <w:rPr>
          <w:rFonts w:cs="Times CE"/>
          <w:u w:val="single"/>
        </w:rPr>
      </w:pPr>
    </w:p>
    <w:p w14:paraId="4789EE2F" w14:textId="77777777" w:rsidR="00DF4A1D" w:rsidRPr="007B3B90" w:rsidRDefault="00DF4A1D" w:rsidP="00AB1B09">
      <w:pPr>
        <w:tabs>
          <w:tab w:val="left" w:pos="9639"/>
          <w:tab w:val="left" w:pos="9781"/>
          <w:tab w:val="left" w:pos="10065"/>
        </w:tabs>
        <w:ind w:right="301"/>
        <w:jc w:val="both"/>
        <w:rPr>
          <w:rFonts w:cs="Times CE"/>
          <w:b/>
          <w:bCs/>
        </w:rPr>
      </w:pPr>
      <w:r w:rsidRPr="007B3B90">
        <w:rPr>
          <w:rFonts w:cs="Times CE"/>
          <w:b/>
          <w:bCs/>
        </w:rPr>
        <w:t>FOLLOW UP:</w:t>
      </w:r>
    </w:p>
    <w:p w14:paraId="79D2F731" w14:textId="77777777" w:rsidR="00DF4A1D" w:rsidRPr="007B3B90" w:rsidRDefault="00DF4A1D" w:rsidP="00AB1B09">
      <w:pPr>
        <w:tabs>
          <w:tab w:val="left" w:pos="9639"/>
          <w:tab w:val="left" w:pos="9781"/>
          <w:tab w:val="left" w:pos="10065"/>
        </w:tabs>
        <w:ind w:right="301"/>
        <w:jc w:val="both"/>
        <w:rPr>
          <w:rFonts w:cs="Times CE"/>
          <w:u w:val="single"/>
        </w:rPr>
      </w:pPr>
    </w:p>
    <w:p w14:paraId="3149971A" w14:textId="77777777" w:rsidR="00B93F8F" w:rsidRPr="007B3B90" w:rsidRDefault="00B93F8F" w:rsidP="00B93F8F">
      <w:pPr>
        <w:tabs>
          <w:tab w:val="left" w:pos="3402"/>
          <w:tab w:val="left" w:pos="9639"/>
          <w:tab w:val="left" w:pos="9781"/>
          <w:tab w:val="left" w:pos="10065"/>
        </w:tabs>
        <w:spacing w:after="120"/>
        <w:ind w:right="395"/>
        <w:jc w:val="both"/>
        <w:rPr>
          <w:rFonts w:cs="Times CE"/>
        </w:rPr>
      </w:pPr>
      <w:r w:rsidRPr="007B3B90">
        <w:rPr>
          <w:rFonts w:cs="Times CE"/>
        </w:rPr>
        <w:t xml:space="preserve">The schedule for data collection is detailed in Appendix 1. </w:t>
      </w:r>
    </w:p>
    <w:p w14:paraId="1E6BBE77" w14:textId="6F367EB5" w:rsidR="009F682D" w:rsidRPr="007B3B90" w:rsidRDefault="009F682D" w:rsidP="009F682D">
      <w:pPr>
        <w:tabs>
          <w:tab w:val="left" w:pos="3402"/>
          <w:tab w:val="left" w:pos="9639"/>
          <w:tab w:val="left" w:pos="9781"/>
          <w:tab w:val="left" w:pos="10065"/>
        </w:tabs>
        <w:spacing w:after="120"/>
        <w:ind w:right="395"/>
        <w:jc w:val="both"/>
        <w:rPr>
          <w:rFonts w:cs="Times CE"/>
        </w:rPr>
      </w:pPr>
      <w:r w:rsidRPr="007B3B90">
        <w:rPr>
          <w:rFonts w:cs="Times CE"/>
        </w:rPr>
        <w:t>Data will be collected according to the schedule:</w:t>
      </w:r>
    </w:p>
    <w:p w14:paraId="26768C4F" w14:textId="77777777" w:rsidR="009F682D" w:rsidRPr="007B3B90" w:rsidRDefault="009F682D" w:rsidP="009F682D">
      <w:pPr>
        <w:pStyle w:val="ListParagraph"/>
        <w:numPr>
          <w:ilvl w:val="0"/>
          <w:numId w:val="32"/>
        </w:numPr>
        <w:tabs>
          <w:tab w:val="left" w:pos="3402"/>
          <w:tab w:val="left" w:pos="9639"/>
          <w:tab w:val="left" w:pos="9781"/>
          <w:tab w:val="left" w:pos="10065"/>
        </w:tabs>
        <w:spacing w:after="120"/>
        <w:ind w:right="395"/>
        <w:jc w:val="both"/>
        <w:rPr>
          <w:rFonts w:cs="Times CE"/>
        </w:rPr>
      </w:pPr>
      <w:r w:rsidRPr="007B3B90">
        <w:rPr>
          <w:rFonts w:cs="Times CE"/>
        </w:rPr>
        <w:t>at baseline</w:t>
      </w:r>
    </w:p>
    <w:p w14:paraId="2CF18B91" w14:textId="6B700812" w:rsidR="009F682D" w:rsidRDefault="009F682D" w:rsidP="009F682D">
      <w:pPr>
        <w:pStyle w:val="ListParagraph"/>
        <w:numPr>
          <w:ilvl w:val="0"/>
          <w:numId w:val="32"/>
        </w:numPr>
        <w:tabs>
          <w:tab w:val="left" w:pos="3402"/>
          <w:tab w:val="left" w:pos="9639"/>
          <w:tab w:val="left" w:pos="9781"/>
          <w:tab w:val="left" w:pos="10065"/>
        </w:tabs>
        <w:spacing w:after="120"/>
        <w:ind w:right="395"/>
        <w:jc w:val="both"/>
        <w:rPr>
          <w:rFonts w:cs="Times CE"/>
        </w:rPr>
      </w:pPr>
      <w:r w:rsidRPr="007B3B90">
        <w:rPr>
          <w:rFonts w:cs="Times CE"/>
        </w:rPr>
        <w:t>in-hospital</w:t>
      </w:r>
    </w:p>
    <w:p w14:paraId="43F29A4B" w14:textId="16B6B94E" w:rsidR="002E4A70" w:rsidRPr="007B3B90" w:rsidRDefault="002E4A70" w:rsidP="009F682D">
      <w:pPr>
        <w:pStyle w:val="ListParagraph"/>
        <w:numPr>
          <w:ilvl w:val="0"/>
          <w:numId w:val="32"/>
        </w:numPr>
        <w:tabs>
          <w:tab w:val="left" w:pos="3402"/>
          <w:tab w:val="left" w:pos="9639"/>
          <w:tab w:val="left" w:pos="9781"/>
          <w:tab w:val="left" w:pos="10065"/>
        </w:tabs>
        <w:spacing w:after="120"/>
        <w:ind w:right="395"/>
        <w:jc w:val="both"/>
        <w:rPr>
          <w:rFonts w:cs="Times CE"/>
        </w:rPr>
      </w:pPr>
      <w:r>
        <w:rPr>
          <w:rFonts w:cs="Times CE"/>
        </w:rPr>
        <w:t xml:space="preserve">at </w:t>
      </w:r>
      <w:r w:rsidR="00202B43">
        <w:rPr>
          <w:rFonts w:cs="Times CE"/>
        </w:rPr>
        <w:t>a telephone appointment at 2-4 days after discharge from hospital</w:t>
      </w:r>
    </w:p>
    <w:p w14:paraId="4983FD7C" w14:textId="77777777" w:rsidR="009F682D" w:rsidRPr="007B3B90" w:rsidRDefault="009F682D" w:rsidP="009F682D">
      <w:pPr>
        <w:pStyle w:val="ListParagraph"/>
        <w:numPr>
          <w:ilvl w:val="0"/>
          <w:numId w:val="32"/>
        </w:numPr>
        <w:tabs>
          <w:tab w:val="left" w:pos="3402"/>
          <w:tab w:val="left" w:pos="9639"/>
          <w:tab w:val="left" w:pos="9781"/>
          <w:tab w:val="left" w:pos="10065"/>
        </w:tabs>
        <w:spacing w:after="120"/>
        <w:ind w:right="395"/>
        <w:jc w:val="both"/>
        <w:rPr>
          <w:rFonts w:cs="Times CE"/>
        </w:rPr>
      </w:pPr>
      <w:r w:rsidRPr="007B3B90">
        <w:rPr>
          <w:rFonts w:cs="Times CE"/>
        </w:rPr>
        <w:t>at a routine follow-up appointment at 30-days (+/-14 days)</w:t>
      </w:r>
    </w:p>
    <w:p w14:paraId="67A066A5" w14:textId="77777777" w:rsidR="009F682D" w:rsidRPr="007B3B90" w:rsidRDefault="009F682D" w:rsidP="009F682D">
      <w:pPr>
        <w:pStyle w:val="ListParagraph"/>
        <w:numPr>
          <w:ilvl w:val="0"/>
          <w:numId w:val="32"/>
        </w:numPr>
        <w:tabs>
          <w:tab w:val="left" w:pos="3402"/>
          <w:tab w:val="left" w:pos="9639"/>
          <w:tab w:val="left" w:pos="9781"/>
          <w:tab w:val="left" w:pos="10065"/>
        </w:tabs>
        <w:spacing w:after="120"/>
        <w:ind w:right="395"/>
        <w:jc w:val="both"/>
        <w:rPr>
          <w:rFonts w:cs="Times CE"/>
        </w:rPr>
      </w:pPr>
      <w:r w:rsidRPr="007B3B90">
        <w:rPr>
          <w:rFonts w:cs="Times CE"/>
        </w:rPr>
        <w:t>at a telephone appointment at 3 months (+/-14 days)</w:t>
      </w:r>
    </w:p>
    <w:p w14:paraId="0F8EB7AA" w14:textId="155C1C2F" w:rsidR="009F682D" w:rsidRPr="007B3B90" w:rsidRDefault="009F682D" w:rsidP="009F682D">
      <w:pPr>
        <w:pStyle w:val="ListParagraph"/>
        <w:numPr>
          <w:ilvl w:val="0"/>
          <w:numId w:val="32"/>
        </w:numPr>
        <w:tabs>
          <w:tab w:val="left" w:pos="3402"/>
          <w:tab w:val="left" w:pos="9639"/>
          <w:tab w:val="left" w:pos="9781"/>
          <w:tab w:val="left" w:pos="10065"/>
        </w:tabs>
        <w:spacing w:after="120"/>
        <w:ind w:right="395"/>
        <w:jc w:val="both"/>
        <w:rPr>
          <w:rFonts w:cs="Times CE"/>
        </w:rPr>
      </w:pPr>
      <w:r w:rsidRPr="007B3B90">
        <w:rPr>
          <w:rFonts w:cs="Times CE"/>
        </w:rPr>
        <w:t>at a telephone appointment at 6 months (+/-14 days)</w:t>
      </w:r>
    </w:p>
    <w:p w14:paraId="09B1FE09" w14:textId="7A12C667" w:rsidR="007709BD" w:rsidRPr="007B3B90" w:rsidRDefault="007709BD" w:rsidP="009F682D">
      <w:pPr>
        <w:pStyle w:val="ListParagraph"/>
        <w:numPr>
          <w:ilvl w:val="0"/>
          <w:numId w:val="32"/>
        </w:numPr>
        <w:tabs>
          <w:tab w:val="left" w:pos="3402"/>
          <w:tab w:val="left" w:pos="9639"/>
          <w:tab w:val="left" w:pos="9781"/>
          <w:tab w:val="left" w:pos="10065"/>
        </w:tabs>
        <w:spacing w:after="120"/>
        <w:ind w:right="395"/>
        <w:jc w:val="both"/>
        <w:rPr>
          <w:rFonts w:cs="Times CE"/>
        </w:rPr>
      </w:pPr>
      <w:r w:rsidRPr="007B3B90">
        <w:rPr>
          <w:rFonts w:cs="Times CE"/>
        </w:rPr>
        <w:lastRenderedPageBreak/>
        <w:t>from routine NHS data at 1</w:t>
      </w:r>
      <w:r w:rsidR="00436B39">
        <w:rPr>
          <w:rFonts w:cs="Times CE"/>
        </w:rPr>
        <w:t>2</w:t>
      </w:r>
      <w:r w:rsidRPr="007B3B90">
        <w:rPr>
          <w:rFonts w:cs="Times CE"/>
        </w:rPr>
        <w:t xml:space="preserve"> months</w:t>
      </w:r>
      <w:r w:rsidR="00436B39">
        <w:rPr>
          <w:rFonts w:cs="Times CE"/>
        </w:rPr>
        <w:t xml:space="preserve"> after EVAR (+/- 3 months)</w:t>
      </w:r>
      <w:r w:rsidRPr="007B3B90">
        <w:rPr>
          <w:rFonts w:cs="Times CE"/>
        </w:rPr>
        <w:t>*</w:t>
      </w:r>
    </w:p>
    <w:p w14:paraId="6F03502F" w14:textId="77777777" w:rsidR="00AF514C" w:rsidRPr="007B3B90" w:rsidRDefault="00AF514C" w:rsidP="00AF514C">
      <w:pPr>
        <w:ind w:right="301"/>
        <w:jc w:val="both"/>
        <w:rPr>
          <w:rFonts w:cs="Arial"/>
        </w:rPr>
      </w:pPr>
    </w:p>
    <w:p w14:paraId="2F85C5A1" w14:textId="4EB19673" w:rsidR="00AF514C" w:rsidRDefault="007709BD" w:rsidP="00527CC7">
      <w:pPr>
        <w:jc w:val="both"/>
        <w:rPr>
          <w:rStyle w:val="StyleRed"/>
          <w:rFonts w:ascii="Arial" w:hAnsi="Arial" w:cs="Arial"/>
          <w:iCs/>
          <w:color w:val="000000" w:themeColor="text1"/>
        </w:rPr>
      </w:pPr>
      <w:r w:rsidRPr="007B3B90">
        <w:rPr>
          <w:rFonts w:cs="Arial"/>
          <w:bCs/>
        </w:rPr>
        <w:t>*</w:t>
      </w:r>
      <w:r w:rsidR="00AF514C" w:rsidRPr="007B3B90">
        <w:rPr>
          <w:rFonts w:cs="Arial"/>
          <w:bCs/>
        </w:rPr>
        <w:t xml:space="preserve">Collection of routine </w:t>
      </w:r>
      <w:r w:rsidRPr="007B3B90">
        <w:rPr>
          <w:rFonts w:cs="Arial"/>
          <w:bCs/>
        </w:rPr>
        <w:t xml:space="preserve">NHS </w:t>
      </w:r>
      <w:r w:rsidR="00AF514C" w:rsidRPr="007B3B90">
        <w:rPr>
          <w:rFonts w:cs="Arial"/>
          <w:bCs/>
        </w:rPr>
        <w:t xml:space="preserve">follow-up data </w:t>
      </w:r>
      <w:r w:rsidRPr="007B3B90">
        <w:rPr>
          <w:rFonts w:cs="Arial"/>
          <w:bCs/>
        </w:rPr>
        <w:t xml:space="preserve">to include </w:t>
      </w:r>
      <w:r w:rsidR="00AF514C" w:rsidRPr="007B3B90">
        <w:rPr>
          <w:rFonts w:cs="Arial"/>
          <w:bCs/>
        </w:rPr>
        <w:t>mortality, routine imaging, complications, readmission and reintervention data.</w:t>
      </w:r>
      <w:r w:rsidR="00436B39">
        <w:rPr>
          <w:rFonts w:cs="Arial"/>
          <w:bCs/>
        </w:rPr>
        <w:t xml:space="preserve"> Patients will be asked for </w:t>
      </w:r>
      <w:r w:rsidR="00436B39" w:rsidRPr="007B3B90">
        <w:rPr>
          <w:rStyle w:val="StyleRed"/>
          <w:rFonts w:ascii="Arial" w:hAnsi="Arial" w:cs="Arial"/>
          <w:iCs/>
          <w:color w:val="000000" w:themeColor="text1"/>
        </w:rPr>
        <w:t>permission to collect routine clinical data</w:t>
      </w:r>
      <w:r w:rsidR="00A9375E">
        <w:rPr>
          <w:rStyle w:val="StyleRed"/>
          <w:rFonts w:ascii="Arial" w:hAnsi="Arial" w:cs="Arial"/>
          <w:iCs/>
          <w:color w:val="000000" w:themeColor="text1"/>
        </w:rPr>
        <w:t xml:space="preserve"> following their procedure. </w:t>
      </w:r>
    </w:p>
    <w:p w14:paraId="2866AEF3" w14:textId="77777777" w:rsidR="00A9375E" w:rsidRPr="007B3B90" w:rsidRDefault="00A9375E" w:rsidP="00A9375E">
      <w:pPr>
        <w:ind w:right="301"/>
        <w:jc w:val="both"/>
        <w:rPr>
          <w:rFonts w:cs="Arial"/>
        </w:rPr>
      </w:pPr>
    </w:p>
    <w:p w14:paraId="4CE50693" w14:textId="39AB1CDC" w:rsidR="00AB1B09" w:rsidRPr="007B3B90" w:rsidRDefault="00AB1B09" w:rsidP="0030599A">
      <w:pPr>
        <w:tabs>
          <w:tab w:val="left" w:pos="9639"/>
          <w:tab w:val="left" w:pos="9781"/>
          <w:tab w:val="left" w:pos="10065"/>
        </w:tabs>
        <w:jc w:val="both"/>
        <w:rPr>
          <w:rFonts w:cs="Arial"/>
        </w:rPr>
      </w:pPr>
      <w:r w:rsidRPr="007B3B90">
        <w:rPr>
          <w:rFonts w:cs="Arial"/>
        </w:rPr>
        <w:t xml:space="preserve">A telephone consultation, at a booked time will be had between the nurse specialist and patient (involving the carers/family and including a telemedicine component if possible) between day 2 and 4. The aim of the follow-up consultation is to ensure expected recovery, no evidence of post-operative complications and further follow-up arrangements as well as discuss patient issues and worries/fears/concerns. Where there are specific concerns the telephone interview may be amended to discuss these issues. </w:t>
      </w:r>
    </w:p>
    <w:p w14:paraId="795ED3E4" w14:textId="77777777" w:rsidR="00AB1B09" w:rsidRPr="007B3B90" w:rsidRDefault="00AB1B09" w:rsidP="00B93F8F">
      <w:pPr>
        <w:tabs>
          <w:tab w:val="left" w:pos="9639"/>
          <w:tab w:val="left" w:pos="9781"/>
          <w:tab w:val="left" w:pos="10065"/>
        </w:tabs>
        <w:ind w:right="301"/>
        <w:jc w:val="both"/>
        <w:rPr>
          <w:rFonts w:cs="Arial"/>
        </w:rPr>
      </w:pPr>
    </w:p>
    <w:p w14:paraId="45F3BF13" w14:textId="589732ED" w:rsidR="00AB1B09" w:rsidRPr="007B3B90" w:rsidRDefault="00AB1B09" w:rsidP="0030599A">
      <w:pPr>
        <w:tabs>
          <w:tab w:val="left" w:pos="3402"/>
          <w:tab w:val="left" w:pos="9639"/>
          <w:tab w:val="left" w:pos="9781"/>
          <w:tab w:val="left" w:pos="10065"/>
        </w:tabs>
        <w:jc w:val="both"/>
        <w:rPr>
          <w:rFonts w:cs="Arial"/>
        </w:rPr>
      </w:pPr>
      <w:r w:rsidRPr="007B3B90">
        <w:rPr>
          <w:rFonts w:cs="Arial"/>
        </w:rPr>
        <w:t xml:space="preserve">An emergency contact line will also be established to ensure patients are safe during this study. This will be present on the ward to ensure 24-hour advice is available as a first point of contact. All staff on the vascular ward will be made aware of the study and protocols for escalation of queries and emergency calls from patients will be made available. The use of this contact number will be monitored during the study </w:t>
      </w:r>
      <w:r w:rsidR="00006B76" w:rsidRPr="007B3B90">
        <w:rPr>
          <w:rFonts w:cs="Arial"/>
        </w:rPr>
        <w:t xml:space="preserve">with a call </w:t>
      </w:r>
      <w:r w:rsidR="00436B39" w:rsidRPr="007B3B90">
        <w:rPr>
          <w:rFonts w:cs="Arial"/>
        </w:rPr>
        <w:t>log,</w:t>
      </w:r>
      <w:r w:rsidR="00006B76" w:rsidRPr="007B3B90">
        <w:rPr>
          <w:rFonts w:cs="Arial"/>
        </w:rPr>
        <w:t xml:space="preserve"> </w:t>
      </w:r>
      <w:r w:rsidRPr="007B3B90">
        <w:rPr>
          <w:rFonts w:cs="Arial"/>
        </w:rPr>
        <w:t>and this will inform whether a helpline would be necessary during a</w:t>
      </w:r>
      <w:r w:rsidR="007709BD" w:rsidRPr="007B3B90">
        <w:rPr>
          <w:rFonts w:cs="Arial"/>
        </w:rPr>
        <w:t>ny</w:t>
      </w:r>
      <w:r w:rsidRPr="007B3B90">
        <w:rPr>
          <w:rFonts w:cs="Arial"/>
        </w:rPr>
        <w:t xml:space="preserve"> </w:t>
      </w:r>
      <w:r w:rsidR="007709BD" w:rsidRPr="007B3B90">
        <w:rPr>
          <w:rFonts w:cs="Arial"/>
        </w:rPr>
        <w:t>further</w:t>
      </w:r>
      <w:r w:rsidRPr="007B3B90">
        <w:rPr>
          <w:rFonts w:cs="Arial"/>
        </w:rPr>
        <w:t xml:space="preserve"> </w:t>
      </w:r>
      <w:r w:rsidR="00D13E7C" w:rsidRPr="007B3B90">
        <w:rPr>
          <w:rFonts w:cs="Arial"/>
        </w:rPr>
        <w:t>study/trial o</w:t>
      </w:r>
      <w:r w:rsidR="007709BD" w:rsidRPr="007B3B90">
        <w:rPr>
          <w:rFonts w:cs="Arial"/>
        </w:rPr>
        <w:t xml:space="preserve">r </w:t>
      </w:r>
      <w:r w:rsidR="00C367A7" w:rsidRPr="007B3B90">
        <w:rPr>
          <w:rFonts w:cs="Arial"/>
        </w:rPr>
        <w:t xml:space="preserve">during </w:t>
      </w:r>
      <w:r w:rsidR="007709BD" w:rsidRPr="007B3B90">
        <w:rPr>
          <w:rFonts w:cs="Arial"/>
        </w:rPr>
        <w:t>implementation</w:t>
      </w:r>
      <w:r w:rsidR="00C367A7" w:rsidRPr="007B3B90">
        <w:rPr>
          <w:rFonts w:cs="Arial"/>
        </w:rPr>
        <w:t>.</w:t>
      </w:r>
    </w:p>
    <w:p w14:paraId="32F60F73" w14:textId="77777777" w:rsidR="00AB1B09" w:rsidRPr="007B3B90" w:rsidRDefault="00AB1B09" w:rsidP="00AB1B09">
      <w:pPr>
        <w:tabs>
          <w:tab w:val="left" w:pos="3402"/>
          <w:tab w:val="left" w:pos="9639"/>
          <w:tab w:val="left" w:pos="9781"/>
          <w:tab w:val="left" w:pos="10065"/>
        </w:tabs>
        <w:ind w:left="567" w:right="301"/>
        <w:jc w:val="both"/>
        <w:rPr>
          <w:rFonts w:cs="Arial"/>
        </w:rPr>
      </w:pPr>
    </w:p>
    <w:p w14:paraId="24BB7690" w14:textId="77777777" w:rsidR="00AB1B09" w:rsidRPr="007B3B90" w:rsidRDefault="00AB1B09" w:rsidP="0030599A">
      <w:pPr>
        <w:tabs>
          <w:tab w:val="left" w:pos="9639"/>
          <w:tab w:val="left" w:pos="9781"/>
          <w:tab w:val="left" w:pos="10065"/>
        </w:tabs>
        <w:jc w:val="both"/>
        <w:rPr>
          <w:rFonts w:cs="Arial"/>
        </w:rPr>
      </w:pPr>
      <w:r w:rsidRPr="007B3B90">
        <w:rPr>
          <w:rFonts w:cs="Arial"/>
        </w:rPr>
        <w:t>In the case where a patient cannot be contacted during a scheduled telephone consultation or ‘does not attend’ a scheduled clinic visit, standard protocol driven strategies involving the next of kin will be used.</w:t>
      </w:r>
    </w:p>
    <w:p w14:paraId="46C0263D" w14:textId="77777777" w:rsidR="00AB1B09" w:rsidRPr="007B3B90" w:rsidRDefault="00AB1B09" w:rsidP="00AB1B09">
      <w:pPr>
        <w:tabs>
          <w:tab w:val="left" w:pos="9639"/>
          <w:tab w:val="left" w:pos="9781"/>
          <w:tab w:val="left" w:pos="10065"/>
        </w:tabs>
        <w:ind w:left="567" w:right="301"/>
        <w:jc w:val="both"/>
        <w:rPr>
          <w:rFonts w:cs="Arial"/>
        </w:rPr>
      </w:pPr>
    </w:p>
    <w:p w14:paraId="08442416" w14:textId="0AA5ED1E" w:rsidR="00393AF3" w:rsidRDefault="00AB1B09" w:rsidP="00393AF3">
      <w:pPr>
        <w:pStyle w:val="Indent2"/>
        <w:spacing w:after="0"/>
        <w:ind w:left="0"/>
        <w:jc w:val="both"/>
        <w:rPr>
          <w:rFonts w:cs="Arial"/>
          <w:color w:val="000000" w:themeColor="text1"/>
          <w:sz w:val="24"/>
          <w:szCs w:val="24"/>
          <w:lang w:val="en-GB"/>
        </w:rPr>
      </w:pPr>
      <w:r w:rsidRPr="005A3D35">
        <w:rPr>
          <w:rFonts w:cs="Arial"/>
          <w:color w:val="000000" w:themeColor="text1"/>
          <w:sz w:val="24"/>
          <w:szCs w:val="24"/>
          <w:lang w:val="en-GB"/>
        </w:rPr>
        <w:t xml:space="preserve">A </w:t>
      </w:r>
      <w:r w:rsidR="005A3D35">
        <w:rPr>
          <w:rFonts w:cs="Arial"/>
          <w:color w:val="000000" w:themeColor="text1"/>
          <w:sz w:val="24"/>
          <w:szCs w:val="24"/>
          <w:lang w:val="en-GB"/>
        </w:rPr>
        <w:t>participant</w:t>
      </w:r>
      <w:r w:rsidR="005A3D35" w:rsidRPr="00A8565B">
        <w:rPr>
          <w:rFonts w:cs="Arial"/>
          <w:color w:val="000000" w:themeColor="text1"/>
          <w:sz w:val="24"/>
          <w:szCs w:val="24"/>
          <w:lang w:val="en-GB"/>
        </w:rPr>
        <w:t xml:space="preserve"> </w:t>
      </w:r>
      <w:r w:rsidRPr="00A8565B">
        <w:rPr>
          <w:rFonts w:cs="Arial"/>
          <w:color w:val="000000" w:themeColor="text1"/>
          <w:sz w:val="24"/>
          <w:szCs w:val="24"/>
          <w:lang w:val="en-GB"/>
        </w:rPr>
        <w:t xml:space="preserve">has completed the </w:t>
      </w:r>
      <w:r w:rsidR="005D5599">
        <w:rPr>
          <w:rFonts w:cs="Arial"/>
          <w:color w:val="000000" w:themeColor="text1"/>
          <w:sz w:val="24"/>
          <w:szCs w:val="24"/>
          <w:lang w:val="en-GB"/>
        </w:rPr>
        <w:t xml:space="preserve">active data collection section of the </w:t>
      </w:r>
      <w:r w:rsidRPr="00A8565B">
        <w:rPr>
          <w:rFonts w:cs="Arial"/>
          <w:color w:val="000000" w:themeColor="text1"/>
          <w:sz w:val="24"/>
          <w:szCs w:val="24"/>
          <w:lang w:val="en-GB"/>
        </w:rPr>
        <w:t>study after the 6</w:t>
      </w:r>
      <w:r w:rsidR="00973752" w:rsidRPr="00A8565B">
        <w:rPr>
          <w:rFonts w:cs="Arial"/>
          <w:color w:val="000000" w:themeColor="text1"/>
          <w:sz w:val="24"/>
          <w:szCs w:val="24"/>
          <w:lang w:val="en-GB"/>
        </w:rPr>
        <w:t>-</w:t>
      </w:r>
      <w:r w:rsidRPr="00A8565B">
        <w:rPr>
          <w:rFonts w:cs="Arial"/>
          <w:color w:val="000000" w:themeColor="text1"/>
          <w:sz w:val="24"/>
          <w:szCs w:val="24"/>
          <w:lang w:val="en-GB"/>
        </w:rPr>
        <w:t xml:space="preserve">month follow up. Any </w:t>
      </w:r>
      <w:r w:rsidR="005A3D35">
        <w:rPr>
          <w:rFonts w:cs="Arial"/>
          <w:color w:val="000000" w:themeColor="text1"/>
          <w:sz w:val="24"/>
          <w:szCs w:val="24"/>
          <w:lang w:val="en-GB"/>
        </w:rPr>
        <w:t>participant</w:t>
      </w:r>
      <w:r w:rsidR="005A3D35" w:rsidRPr="00A8565B">
        <w:rPr>
          <w:rFonts w:cs="Arial"/>
          <w:color w:val="000000" w:themeColor="text1"/>
          <w:sz w:val="24"/>
          <w:szCs w:val="24"/>
          <w:lang w:val="en-GB"/>
        </w:rPr>
        <w:t xml:space="preserve"> </w:t>
      </w:r>
      <w:r w:rsidRPr="00A8565B">
        <w:rPr>
          <w:rFonts w:cs="Arial"/>
          <w:color w:val="000000" w:themeColor="text1"/>
          <w:sz w:val="24"/>
          <w:szCs w:val="24"/>
          <w:lang w:val="en-GB"/>
        </w:rPr>
        <w:t xml:space="preserve">that does not complete these requirements due to voluntary withdrawal, physician withdrawal, death, or any other reason will be considered a withdrawal. </w:t>
      </w:r>
      <w:r w:rsidR="00A8565B">
        <w:rPr>
          <w:rFonts w:cs="Arial"/>
          <w:color w:val="000000" w:themeColor="text1"/>
          <w:sz w:val="24"/>
          <w:szCs w:val="24"/>
          <w:lang w:val="en-GB"/>
        </w:rPr>
        <w:t>Participants</w:t>
      </w:r>
      <w:r w:rsidR="00A8565B" w:rsidRPr="00A8565B">
        <w:rPr>
          <w:rFonts w:cs="Arial"/>
          <w:color w:val="000000" w:themeColor="text1"/>
          <w:sz w:val="24"/>
          <w:szCs w:val="24"/>
          <w:lang w:val="en-GB"/>
        </w:rPr>
        <w:t xml:space="preserve"> </w:t>
      </w:r>
      <w:r w:rsidRPr="00A8565B">
        <w:rPr>
          <w:rFonts w:cs="Arial"/>
          <w:color w:val="000000" w:themeColor="text1"/>
          <w:sz w:val="24"/>
          <w:szCs w:val="24"/>
          <w:lang w:val="en-GB"/>
        </w:rPr>
        <w:t>will not be provided with any medical care by the Sponsor after study completion or withdrawal</w:t>
      </w:r>
      <w:r w:rsidR="007709BD" w:rsidRPr="00A8565B">
        <w:rPr>
          <w:rFonts w:cs="Arial"/>
          <w:color w:val="000000" w:themeColor="text1"/>
          <w:sz w:val="24"/>
          <w:szCs w:val="24"/>
          <w:lang w:val="en-GB"/>
        </w:rPr>
        <w:t>, although routine NHS clinical care will be continued</w:t>
      </w:r>
      <w:r w:rsidRPr="00A8565B">
        <w:rPr>
          <w:rFonts w:cs="Arial"/>
          <w:color w:val="000000" w:themeColor="text1"/>
          <w:sz w:val="24"/>
          <w:szCs w:val="24"/>
          <w:lang w:val="en-GB"/>
        </w:rPr>
        <w:t>.</w:t>
      </w:r>
    </w:p>
    <w:p w14:paraId="1A864695" w14:textId="43DE5ABC" w:rsidR="009145A7" w:rsidRDefault="009145A7" w:rsidP="00393AF3">
      <w:pPr>
        <w:pStyle w:val="Indent2"/>
        <w:spacing w:after="0"/>
        <w:ind w:left="0"/>
        <w:jc w:val="both"/>
        <w:rPr>
          <w:rFonts w:cs="Arial"/>
          <w:color w:val="000000" w:themeColor="text1"/>
          <w:sz w:val="24"/>
          <w:szCs w:val="24"/>
          <w:lang w:val="en-GB"/>
        </w:rPr>
      </w:pPr>
    </w:p>
    <w:p w14:paraId="4F4693AD" w14:textId="7854E5A1" w:rsidR="009145A7" w:rsidRPr="009145A7" w:rsidRDefault="009145A7" w:rsidP="009145A7">
      <w:pPr>
        <w:autoSpaceDE w:val="0"/>
        <w:autoSpaceDN w:val="0"/>
        <w:adjustRightInd w:val="0"/>
        <w:jc w:val="both"/>
        <w:rPr>
          <w:rFonts w:cs="Arial"/>
          <w:color w:val="000000" w:themeColor="text1"/>
        </w:rPr>
      </w:pPr>
      <w:r w:rsidRPr="009145A7">
        <w:rPr>
          <w:rFonts w:cs="Arial"/>
          <w:color w:val="000000" w:themeColor="text1"/>
        </w:rPr>
        <w:t xml:space="preserve">In the event where incidental findings relating to </w:t>
      </w:r>
      <w:r>
        <w:rPr>
          <w:rFonts w:cs="Arial"/>
          <w:color w:val="000000" w:themeColor="text1"/>
        </w:rPr>
        <w:t>the participant’s</w:t>
      </w:r>
      <w:r w:rsidRPr="009145A7">
        <w:rPr>
          <w:rFonts w:cs="Arial"/>
          <w:color w:val="000000" w:themeColor="text1"/>
        </w:rPr>
        <w:t xml:space="preserve"> health</w:t>
      </w:r>
      <w:r>
        <w:rPr>
          <w:rFonts w:cs="Arial"/>
          <w:color w:val="000000" w:themeColor="text1"/>
        </w:rPr>
        <w:t xml:space="preserve"> become apparent, the immediate</w:t>
      </w:r>
      <w:r w:rsidRPr="009145A7">
        <w:rPr>
          <w:rFonts w:cs="Arial"/>
          <w:color w:val="000000" w:themeColor="text1"/>
        </w:rPr>
        <w:t xml:space="preserve"> clinical team will ensure </w:t>
      </w:r>
      <w:r>
        <w:rPr>
          <w:rFonts w:cs="Arial"/>
          <w:color w:val="000000" w:themeColor="text1"/>
        </w:rPr>
        <w:t xml:space="preserve">the participant, as well as their </w:t>
      </w:r>
      <w:r w:rsidRPr="009145A7">
        <w:rPr>
          <w:rFonts w:cs="Arial"/>
          <w:color w:val="000000" w:themeColor="text1"/>
        </w:rPr>
        <w:t xml:space="preserve">GP </w:t>
      </w:r>
      <w:r>
        <w:rPr>
          <w:rFonts w:cs="Arial"/>
          <w:color w:val="000000" w:themeColor="text1"/>
        </w:rPr>
        <w:t>are</w:t>
      </w:r>
      <w:r w:rsidRPr="009145A7">
        <w:rPr>
          <w:rFonts w:cs="Arial"/>
          <w:color w:val="000000" w:themeColor="text1"/>
        </w:rPr>
        <w:t xml:space="preserve"> informed and </w:t>
      </w:r>
      <w:r>
        <w:rPr>
          <w:rFonts w:cs="Arial"/>
          <w:color w:val="000000" w:themeColor="text1"/>
        </w:rPr>
        <w:t xml:space="preserve">that </w:t>
      </w:r>
      <w:r w:rsidRPr="009145A7">
        <w:rPr>
          <w:rFonts w:cs="Arial"/>
          <w:color w:val="000000" w:themeColor="text1"/>
        </w:rPr>
        <w:t xml:space="preserve">appropriate follow up is organised with the </w:t>
      </w:r>
      <w:r>
        <w:rPr>
          <w:rFonts w:cs="Arial"/>
          <w:color w:val="000000" w:themeColor="text1"/>
        </w:rPr>
        <w:t>appropriate</w:t>
      </w:r>
      <w:r w:rsidRPr="009145A7">
        <w:rPr>
          <w:rFonts w:cs="Arial"/>
          <w:color w:val="000000" w:themeColor="text1"/>
        </w:rPr>
        <w:t xml:space="preserve"> team</w:t>
      </w:r>
      <w:r>
        <w:rPr>
          <w:rFonts w:cs="Arial"/>
          <w:color w:val="000000" w:themeColor="text1"/>
        </w:rPr>
        <w:t>/specialist service</w:t>
      </w:r>
      <w:r w:rsidRPr="009145A7">
        <w:rPr>
          <w:rFonts w:cs="Arial"/>
          <w:color w:val="000000" w:themeColor="text1"/>
        </w:rPr>
        <w:t xml:space="preserve">. </w:t>
      </w:r>
    </w:p>
    <w:p w14:paraId="444BC134" w14:textId="619C2345" w:rsidR="009145A7" w:rsidRPr="00A8565B" w:rsidRDefault="009145A7" w:rsidP="00393AF3">
      <w:pPr>
        <w:pStyle w:val="Indent2"/>
        <w:spacing w:after="0"/>
        <w:ind w:left="0"/>
        <w:jc w:val="both"/>
        <w:rPr>
          <w:rFonts w:cs="Arial"/>
          <w:color w:val="000000" w:themeColor="text1"/>
          <w:sz w:val="24"/>
          <w:szCs w:val="24"/>
          <w:lang w:val="en-GB"/>
        </w:rPr>
      </w:pPr>
    </w:p>
    <w:p w14:paraId="2479ACAC" w14:textId="35DE7E9B" w:rsidR="00393AF3" w:rsidRPr="00A8565B" w:rsidRDefault="00393AF3" w:rsidP="00393AF3">
      <w:pPr>
        <w:pStyle w:val="Indent2"/>
        <w:spacing w:after="0"/>
        <w:ind w:left="0"/>
        <w:jc w:val="both"/>
        <w:rPr>
          <w:rFonts w:cs="Arial"/>
          <w:color w:val="000000" w:themeColor="text1"/>
          <w:sz w:val="24"/>
          <w:szCs w:val="24"/>
          <w:lang w:val="en-GB"/>
        </w:rPr>
      </w:pPr>
    </w:p>
    <w:p w14:paraId="28ECF049" w14:textId="77777777" w:rsidR="005D5599" w:rsidRDefault="005D5599" w:rsidP="00393AF3">
      <w:pPr>
        <w:tabs>
          <w:tab w:val="left" w:pos="9639"/>
          <w:tab w:val="left" w:pos="9781"/>
          <w:tab w:val="left" w:pos="10065"/>
        </w:tabs>
        <w:ind w:right="301"/>
        <w:jc w:val="both"/>
        <w:rPr>
          <w:rFonts w:cs="Times CE"/>
          <w:b/>
          <w:bCs/>
        </w:rPr>
      </w:pPr>
    </w:p>
    <w:p w14:paraId="1A102BCE" w14:textId="77777777" w:rsidR="005D5599" w:rsidRDefault="005D5599" w:rsidP="00393AF3">
      <w:pPr>
        <w:tabs>
          <w:tab w:val="left" w:pos="9639"/>
          <w:tab w:val="left" w:pos="9781"/>
          <w:tab w:val="left" w:pos="10065"/>
        </w:tabs>
        <w:ind w:right="301"/>
        <w:jc w:val="both"/>
        <w:rPr>
          <w:rFonts w:cs="Times CE"/>
          <w:b/>
          <w:bCs/>
        </w:rPr>
      </w:pPr>
    </w:p>
    <w:p w14:paraId="28A8FEE7" w14:textId="77777777" w:rsidR="00C77EBA" w:rsidRDefault="00C77EBA" w:rsidP="00393AF3">
      <w:pPr>
        <w:tabs>
          <w:tab w:val="left" w:pos="9639"/>
          <w:tab w:val="left" w:pos="9781"/>
          <w:tab w:val="left" w:pos="10065"/>
        </w:tabs>
        <w:ind w:right="301"/>
        <w:jc w:val="both"/>
        <w:rPr>
          <w:rFonts w:cs="Times CE"/>
          <w:b/>
          <w:bCs/>
        </w:rPr>
      </w:pPr>
    </w:p>
    <w:p w14:paraId="07CC0613" w14:textId="35F23A07" w:rsidR="00393AF3" w:rsidRPr="007B3B90" w:rsidRDefault="00393AF3" w:rsidP="00393AF3">
      <w:pPr>
        <w:tabs>
          <w:tab w:val="left" w:pos="9639"/>
          <w:tab w:val="left" w:pos="9781"/>
          <w:tab w:val="left" w:pos="10065"/>
        </w:tabs>
        <w:ind w:right="301"/>
        <w:jc w:val="both"/>
        <w:rPr>
          <w:rFonts w:cs="Times CE"/>
          <w:b/>
          <w:bCs/>
        </w:rPr>
      </w:pPr>
      <w:r w:rsidRPr="007B3B90">
        <w:rPr>
          <w:rFonts w:cs="Times CE"/>
          <w:b/>
          <w:bCs/>
        </w:rPr>
        <w:t>LOCAL STUDY SITES:</w:t>
      </w:r>
    </w:p>
    <w:p w14:paraId="563573A5" w14:textId="77777777" w:rsidR="00D02E50" w:rsidRPr="00A8565B" w:rsidRDefault="00D02E50" w:rsidP="00B93F8F">
      <w:pPr>
        <w:pStyle w:val="Indent2"/>
        <w:spacing w:after="0"/>
        <w:ind w:left="0"/>
        <w:jc w:val="both"/>
        <w:rPr>
          <w:rStyle w:val="StyleArialBold"/>
          <w:b w:val="0"/>
          <w:color w:val="000000" w:themeColor="text1"/>
          <w:sz w:val="23"/>
          <w:szCs w:val="23"/>
          <w:lang w:val="en-GB"/>
        </w:rPr>
      </w:pPr>
    </w:p>
    <w:p w14:paraId="5BA25263" w14:textId="2ACC4AB1" w:rsidR="00D02E50" w:rsidRPr="000372E8" w:rsidRDefault="00D02E50" w:rsidP="000372E8">
      <w:pPr>
        <w:spacing w:line="360" w:lineRule="auto"/>
        <w:jc w:val="both"/>
        <w:rPr>
          <w:rStyle w:val="StyleArialBold"/>
          <w:b w:val="0"/>
          <w:bCs w:val="0"/>
          <w:color w:val="000000" w:themeColor="text1"/>
        </w:rPr>
      </w:pPr>
      <w:r w:rsidRPr="000372E8">
        <w:rPr>
          <w:rStyle w:val="StyleArialBold"/>
          <w:b w:val="0"/>
          <w:bCs w:val="0"/>
          <w:color w:val="000000" w:themeColor="text1"/>
        </w:rPr>
        <w:t>The local principal investigators and clinical staff at the local study sites are</w:t>
      </w:r>
    </w:p>
    <w:p w14:paraId="7D3F8ACF" w14:textId="77777777" w:rsidR="00D02E50" w:rsidRPr="000372E8" w:rsidRDefault="00D02E50" w:rsidP="000372E8">
      <w:pPr>
        <w:spacing w:line="360" w:lineRule="auto"/>
        <w:jc w:val="both"/>
        <w:rPr>
          <w:rStyle w:val="StyleArialBold"/>
          <w:b w:val="0"/>
          <w:bCs w:val="0"/>
          <w:color w:val="000000" w:themeColor="text1"/>
        </w:rPr>
      </w:pPr>
      <w:r w:rsidRPr="000372E8">
        <w:rPr>
          <w:rStyle w:val="StyleArialBold"/>
          <w:b w:val="0"/>
          <w:bCs w:val="0"/>
          <w:color w:val="000000" w:themeColor="text1"/>
        </w:rPr>
        <w:t>responsible for:</w:t>
      </w:r>
    </w:p>
    <w:p w14:paraId="09BD2828" w14:textId="77777777" w:rsidR="00D02E50" w:rsidRPr="000372E8" w:rsidRDefault="00D02E50" w:rsidP="000372E8">
      <w:pPr>
        <w:pStyle w:val="ListParagraph"/>
        <w:numPr>
          <w:ilvl w:val="0"/>
          <w:numId w:val="29"/>
        </w:numPr>
        <w:spacing w:line="360" w:lineRule="auto"/>
        <w:jc w:val="both"/>
        <w:rPr>
          <w:rStyle w:val="StyleArialBold"/>
          <w:b w:val="0"/>
          <w:bCs w:val="0"/>
          <w:color w:val="000000" w:themeColor="text1"/>
        </w:rPr>
      </w:pPr>
      <w:r w:rsidRPr="000372E8">
        <w:rPr>
          <w:rStyle w:val="StyleArialBold"/>
          <w:b w:val="0"/>
          <w:bCs w:val="0"/>
          <w:color w:val="000000" w:themeColor="text1"/>
        </w:rPr>
        <w:lastRenderedPageBreak/>
        <w:t>helping facilitate local management approval (aided by the Study Coordinating Centre)</w:t>
      </w:r>
    </w:p>
    <w:p w14:paraId="38BA2ADF" w14:textId="77777777" w:rsidR="00D02E50" w:rsidRPr="000372E8" w:rsidRDefault="00D02E50" w:rsidP="000372E8">
      <w:pPr>
        <w:pStyle w:val="ListParagraph"/>
        <w:numPr>
          <w:ilvl w:val="0"/>
          <w:numId w:val="29"/>
        </w:numPr>
        <w:spacing w:line="360" w:lineRule="auto"/>
        <w:jc w:val="both"/>
        <w:rPr>
          <w:rStyle w:val="StyleArialBold"/>
          <w:b w:val="0"/>
          <w:bCs w:val="0"/>
          <w:color w:val="000000" w:themeColor="text1"/>
        </w:rPr>
      </w:pPr>
      <w:r w:rsidRPr="000372E8">
        <w:rPr>
          <w:rStyle w:val="StyleArialBold"/>
          <w:b w:val="0"/>
          <w:bCs w:val="0"/>
          <w:color w:val="000000" w:themeColor="text1"/>
        </w:rPr>
        <w:t>completing study training and adhering to regulatory requirements (GCP, use of study database etc)</w:t>
      </w:r>
    </w:p>
    <w:p w14:paraId="590B8A85" w14:textId="77777777" w:rsidR="00D02E50" w:rsidRPr="000372E8" w:rsidRDefault="00D02E50" w:rsidP="000372E8">
      <w:pPr>
        <w:pStyle w:val="ListParagraph"/>
        <w:numPr>
          <w:ilvl w:val="0"/>
          <w:numId w:val="29"/>
        </w:numPr>
        <w:spacing w:line="360" w:lineRule="auto"/>
        <w:jc w:val="both"/>
        <w:rPr>
          <w:rStyle w:val="StyleArialBold"/>
          <w:b w:val="0"/>
          <w:bCs w:val="0"/>
          <w:color w:val="000000" w:themeColor="text1"/>
        </w:rPr>
      </w:pPr>
      <w:r w:rsidRPr="000372E8">
        <w:rPr>
          <w:rStyle w:val="StyleArialBold"/>
          <w:b w:val="0"/>
          <w:bCs w:val="0"/>
          <w:color w:val="000000" w:themeColor="text1"/>
        </w:rPr>
        <w:t>identification of potentially eligible patients</w:t>
      </w:r>
    </w:p>
    <w:p w14:paraId="2ACE0488" w14:textId="77777777" w:rsidR="00D02E50" w:rsidRPr="000372E8" w:rsidRDefault="00D02E50" w:rsidP="000372E8">
      <w:pPr>
        <w:pStyle w:val="ListParagraph"/>
        <w:numPr>
          <w:ilvl w:val="0"/>
          <w:numId w:val="29"/>
        </w:numPr>
        <w:spacing w:line="360" w:lineRule="auto"/>
        <w:jc w:val="both"/>
        <w:rPr>
          <w:rStyle w:val="StyleArialBold"/>
          <w:b w:val="0"/>
          <w:bCs w:val="0"/>
          <w:color w:val="000000" w:themeColor="text1"/>
        </w:rPr>
      </w:pPr>
      <w:r w:rsidRPr="000372E8">
        <w:rPr>
          <w:rStyle w:val="StyleArialBold"/>
          <w:b w:val="0"/>
          <w:bCs w:val="0"/>
          <w:color w:val="000000" w:themeColor="text1"/>
        </w:rPr>
        <w:t>conducting study procedures and follow-up according to study protocol and recording and reporting protocol deviations to the Chief Investigator</w:t>
      </w:r>
    </w:p>
    <w:p w14:paraId="3C90A4AE" w14:textId="3D16E160" w:rsidR="00D02E50" w:rsidRPr="000372E8" w:rsidRDefault="00D02E50" w:rsidP="000372E8">
      <w:pPr>
        <w:pStyle w:val="ListParagraph"/>
        <w:numPr>
          <w:ilvl w:val="0"/>
          <w:numId w:val="29"/>
        </w:numPr>
        <w:spacing w:line="360" w:lineRule="auto"/>
        <w:jc w:val="both"/>
        <w:rPr>
          <w:rStyle w:val="StyleArialBold"/>
          <w:b w:val="0"/>
          <w:bCs w:val="0"/>
          <w:color w:val="000000" w:themeColor="text1"/>
        </w:rPr>
      </w:pPr>
      <w:r w:rsidRPr="000372E8">
        <w:rPr>
          <w:rStyle w:val="StyleArialBold"/>
          <w:b w:val="0"/>
          <w:bCs w:val="0"/>
          <w:color w:val="000000" w:themeColor="text1"/>
        </w:rPr>
        <w:t xml:space="preserve">prompt reporting of SAEs to the Chief Investigator (using the relevant form) </w:t>
      </w:r>
    </w:p>
    <w:p w14:paraId="730855C1" w14:textId="77777777" w:rsidR="00D02E50" w:rsidRPr="000372E8" w:rsidRDefault="00D02E50" w:rsidP="000372E8">
      <w:pPr>
        <w:pStyle w:val="ListParagraph"/>
        <w:numPr>
          <w:ilvl w:val="0"/>
          <w:numId w:val="29"/>
        </w:numPr>
        <w:spacing w:line="360" w:lineRule="auto"/>
        <w:jc w:val="both"/>
        <w:rPr>
          <w:rStyle w:val="StyleArialBold"/>
          <w:b w:val="0"/>
          <w:bCs w:val="0"/>
          <w:color w:val="000000" w:themeColor="text1"/>
        </w:rPr>
      </w:pPr>
      <w:r w:rsidRPr="000372E8">
        <w:rPr>
          <w:rStyle w:val="StyleArialBold"/>
          <w:b w:val="0"/>
          <w:bCs w:val="0"/>
          <w:color w:val="000000" w:themeColor="text1"/>
        </w:rPr>
        <w:t>dealing with routine enquiries from patients and their families</w:t>
      </w:r>
    </w:p>
    <w:p w14:paraId="21CEB33E" w14:textId="5A4945A1" w:rsidR="00D02E50" w:rsidRPr="009145A7" w:rsidRDefault="00D02E50" w:rsidP="000372E8">
      <w:pPr>
        <w:pStyle w:val="ListParagraph"/>
        <w:numPr>
          <w:ilvl w:val="0"/>
          <w:numId w:val="29"/>
        </w:numPr>
        <w:spacing w:line="360" w:lineRule="auto"/>
        <w:jc w:val="both"/>
        <w:rPr>
          <w:rStyle w:val="StyleArialBold"/>
          <w:b w:val="0"/>
          <w:bCs w:val="0"/>
        </w:rPr>
      </w:pPr>
      <w:r w:rsidRPr="000372E8">
        <w:rPr>
          <w:rStyle w:val="StyleArialBold"/>
          <w:b w:val="0"/>
          <w:bCs w:val="0"/>
          <w:color w:val="000000" w:themeColor="text1"/>
        </w:rPr>
        <w:t>obtaining appropriate information to confirm study endpoints</w:t>
      </w:r>
      <w:r w:rsidR="007A2B36">
        <w:rPr>
          <w:rStyle w:val="StyleArialBold"/>
          <w:b w:val="0"/>
          <w:bCs w:val="0"/>
          <w:color w:val="000000" w:themeColor="text1"/>
        </w:rPr>
        <w:t xml:space="preserve"> as per the protocol</w:t>
      </w:r>
    </w:p>
    <w:p w14:paraId="48012879" w14:textId="109D6B8C" w:rsidR="009145A7" w:rsidRPr="000372E8" w:rsidRDefault="009145A7" w:rsidP="000372E8">
      <w:pPr>
        <w:pStyle w:val="ListParagraph"/>
        <w:numPr>
          <w:ilvl w:val="0"/>
          <w:numId w:val="29"/>
        </w:numPr>
        <w:spacing w:line="360" w:lineRule="auto"/>
        <w:jc w:val="both"/>
        <w:rPr>
          <w:rStyle w:val="StyleArialBold"/>
          <w:b w:val="0"/>
          <w:bCs w:val="0"/>
        </w:rPr>
      </w:pPr>
      <w:r>
        <w:rPr>
          <w:rStyle w:val="StyleArialBold"/>
          <w:b w:val="0"/>
          <w:bCs w:val="0"/>
          <w:color w:val="000000" w:themeColor="text1"/>
        </w:rPr>
        <w:t>The end of the study will be reached when the last enrolled (100</w:t>
      </w:r>
      <w:r w:rsidRPr="009145A7">
        <w:rPr>
          <w:rStyle w:val="StyleArialBold"/>
          <w:b w:val="0"/>
          <w:bCs w:val="0"/>
          <w:color w:val="000000" w:themeColor="text1"/>
          <w:vertAlign w:val="superscript"/>
        </w:rPr>
        <w:t>th</w:t>
      </w:r>
      <w:r>
        <w:rPr>
          <w:rStyle w:val="StyleArialBold"/>
          <w:b w:val="0"/>
          <w:bCs w:val="0"/>
          <w:color w:val="000000" w:themeColor="text1"/>
        </w:rPr>
        <w:t xml:space="preserve">) participant’ medical notes are accessed at 12 months post their EVAR procedure.  At this stage there will be a data lock, and preparations for analysis and dissemination of findings will take place. </w:t>
      </w:r>
    </w:p>
    <w:p w14:paraId="14FC3BE1" w14:textId="77777777" w:rsidR="00393AF3" w:rsidRPr="007B3B90" w:rsidRDefault="00393AF3" w:rsidP="00B93F8F">
      <w:pPr>
        <w:pStyle w:val="ListParagraph"/>
        <w:spacing w:line="360" w:lineRule="auto"/>
        <w:rPr>
          <w:rStyle w:val="StyleArialBold"/>
          <w:b w:val="0"/>
          <w:bCs w:val="0"/>
        </w:rPr>
      </w:pPr>
    </w:p>
    <w:p w14:paraId="03F4B2F6" w14:textId="77777777" w:rsidR="00663512" w:rsidRPr="007B3B90" w:rsidRDefault="00663512" w:rsidP="00663512"/>
    <w:p w14:paraId="5D822B1B" w14:textId="5B441D41" w:rsidR="00663512" w:rsidRPr="007B3B90" w:rsidRDefault="00663512" w:rsidP="00D057F1">
      <w:pPr>
        <w:pStyle w:val="Heading1"/>
      </w:pPr>
      <w:bookmarkStart w:id="33" w:name="_Toc33089442"/>
      <w:bookmarkStart w:id="34" w:name="_Toc33098118"/>
      <w:r w:rsidRPr="007B3B90">
        <w:t>STATISTIC</w:t>
      </w:r>
      <w:bookmarkEnd w:id="33"/>
      <w:r w:rsidR="00BE7282" w:rsidRPr="007B3B90">
        <w:t>S AND DATA ANALYSIS</w:t>
      </w:r>
      <w:bookmarkEnd w:id="34"/>
    </w:p>
    <w:p w14:paraId="65BC9D4C" w14:textId="77777777" w:rsidR="00663512" w:rsidRPr="007B3B90" w:rsidRDefault="00663512" w:rsidP="00663512"/>
    <w:p w14:paraId="12E16BD2" w14:textId="75E35561" w:rsidR="009E0130" w:rsidRPr="001263D1" w:rsidRDefault="009E0130" w:rsidP="0042141D">
      <w:pPr>
        <w:pStyle w:val="Heading2"/>
        <w:rPr>
          <w:sz w:val="24"/>
          <w:szCs w:val="24"/>
        </w:rPr>
      </w:pPr>
      <w:bookmarkStart w:id="35" w:name="_Toc286414036"/>
      <w:bookmarkStart w:id="36" w:name="_Toc298749533"/>
      <w:bookmarkStart w:id="37" w:name="_Toc63938608"/>
      <w:r w:rsidRPr="001263D1">
        <w:rPr>
          <w:sz w:val="24"/>
          <w:szCs w:val="24"/>
        </w:rPr>
        <w:t>7.1 STATISTICS</w:t>
      </w:r>
    </w:p>
    <w:p w14:paraId="60E474D4" w14:textId="77777777" w:rsidR="009E0130" w:rsidRPr="007B3B90" w:rsidRDefault="009E0130" w:rsidP="0042141D">
      <w:pPr>
        <w:pStyle w:val="Heading2"/>
        <w:rPr>
          <w:rStyle w:val="StyleArialBold"/>
          <w:b/>
        </w:rPr>
      </w:pPr>
    </w:p>
    <w:p w14:paraId="52BC40B5" w14:textId="08484F16" w:rsidR="007A1383" w:rsidRPr="001263D1" w:rsidRDefault="0042141D" w:rsidP="001263D1">
      <w:pPr>
        <w:pStyle w:val="Heading3"/>
        <w:spacing w:before="0" w:after="0"/>
        <w:ind w:right="301"/>
        <w:rPr>
          <w:sz w:val="24"/>
          <w:szCs w:val="24"/>
        </w:rPr>
      </w:pPr>
      <w:r w:rsidRPr="001263D1">
        <w:rPr>
          <w:sz w:val="24"/>
          <w:szCs w:val="24"/>
          <w:lang w:eastAsia="en-US"/>
        </w:rPr>
        <w:t>SAMPLE SIZE ASSUMPTIONS</w:t>
      </w:r>
      <w:bookmarkEnd w:id="35"/>
      <w:bookmarkEnd w:id="36"/>
      <w:bookmarkEnd w:id="37"/>
    </w:p>
    <w:p w14:paraId="1B0B4EBA" w14:textId="77777777" w:rsidR="007A1383" w:rsidRPr="00A8565B" w:rsidRDefault="007A1383" w:rsidP="007A1383">
      <w:pPr>
        <w:pStyle w:val="Indent2"/>
        <w:spacing w:after="0"/>
        <w:ind w:left="0" w:right="301"/>
        <w:jc w:val="both"/>
        <w:rPr>
          <w:rFonts w:cs="Arial"/>
          <w:color w:val="FF0000"/>
          <w:sz w:val="24"/>
          <w:szCs w:val="24"/>
          <w:lang w:val="en-GB"/>
        </w:rPr>
      </w:pPr>
    </w:p>
    <w:p w14:paraId="1BD7E96C" w14:textId="4C7CDD4F" w:rsidR="007A1383" w:rsidRPr="007B3B90" w:rsidRDefault="007A1383" w:rsidP="0030599A">
      <w:pPr>
        <w:tabs>
          <w:tab w:val="left" w:pos="9639"/>
          <w:tab w:val="left" w:pos="9781"/>
          <w:tab w:val="left" w:pos="10065"/>
        </w:tabs>
        <w:jc w:val="both"/>
        <w:rPr>
          <w:rFonts w:cs="Arial"/>
        </w:rPr>
      </w:pPr>
      <w:r w:rsidRPr="007A2B36">
        <w:rPr>
          <w:rFonts w:cs="Arial"/>
          <w:bCs/>
        </w:rPr>
        <w:t xml:space="preserve">It is assumed that each of the </w:t>
      </w:r>
      <w:r w:rsidR="003F0124" w:rsidRPr="00202188">
        <w:rPr>
          <w:rFonts w:cs="Arial"/>
          <w:bCs/>
        </w:rPr>
        <w:t>centres</w:t>
      </w:r>
      <w:r w:rsidRPr="00D26B50">
        <w:rPr>
          <w:rFonts w:cs="Arial"/>
          <w:bCs/>
        </w:rPr>
        <w:t xml:space="preserve"> will offer approximately 70% of patients presenting with an infrarenal AAA an EVAR procedure, based on the National rates from the NVR</w:t>
      </w:r>
      <w:r w:rsidR="00373861" w:rsidRPr="007A2B36">
        <w:rPr>
          <w:rFonts w:cs="Arial"/>
          <w:bCs/>
        </w:rPr>
        <w:t xml:space="preserve"> database</w:t>
      </w:r>
      <w:r w:rsidRPr="007A2B36">
        <w:rPr>
          <w:rFonts w:cs="Arial"/>
          <w:bCs/>
        </w:rPr>
        <w:t xml:space="preserve">. Of this group we assume that </w:t>
      </w:r>
      <w:r w:rsidRPr="007A2B36">
        <w:rPr>
          <w:rFonts w:cs="Arial"/>
        </w:rPr>
        <w:t>70% of these patients are eligible for a short stay EVAR programme and an estimated 10% patient refusal rate based on our preparatory studies.</w:t>
      </w:r>
    </w:p>
    <w:p w14:paraId="0A498C53" w14:textId="72A400D3" w:rsidR="007A1383" w:rsidRPr="007B3B90" w:rsidRDefault="007A1383" w:rsidP="007A1383">
      <w:pPr>
        <w:tabs>
          <w:tab w:val="left" w:pos="9639"/>
          <w:tab w:val="left" w:pos="9781"/>
          <w:tab w:val="left" w:pos="10065"/>
        </w:tabs>
        <w:ind w:right="301"/>
        <w:jc w:val="both"/>
        <w:rPr>
          <w:rFonts w:cs="Arial"/>
        </w:rPr>
      </w:pPr>
    </w:p>
    <w:p w14:paraId="0797F58D" w14:textId="77777777" w:rsidR="00527CC7" w:rsidRDefault="00527CC7">
      <w:pPr>
        <w:rPr>
          <w:rFonts w:cs="Arial"/>
          <w:b/>
          <w:bCs/>
        </w:rPr>
      </w:pPr>
      <w:bookmarkStart w:id="38" w:name="_Toc193768033"/>
      <w:bookmarkStart w:id="39" w:name="_Toc286414037"/>
      <w:bookmarkStart w:id="40" w:name="_Toc298749534"/>
      <w:bookmarkStart w:id="41" w:name="_Toc63938609"/>
      <w:r>
        <w:br w:type="page"/>
      </w:r>
    </w:p>
    <w:p w14:paraId="2ACB5C57" w14:textId="45EBF161" w:rsidR="007A1383" w:rsidRPr="001263D1" w:rsidRDefault="0042141D" w:rsidP="001263D1">
      <w:pPr>
        <w:pStyle w:val="Heading3"/>
        <w:spacing w:before="0" w:after="0"/>
        <w:ind w:right="301"/>
        <w:rPr>
          <w:sz w:val="24"/>
          <w:szCs w:val="24"/>
        </w:rPr>
      </w:pPr>
      <w:r w:rsidRPr="001263D1">
        <w:rPr>
          <w:sz w:val="24"/>
          <w:szCs w:val="24"/>
          <w:lang w:eastAsia="en-US"/>
        </w:rPr>
        <w:lastRenderedPageBreak/>
        <w:t xml:space="preserve">SAMPLE SIZE </w:t>
      </w:r>
      <w:bookmarkEnd w:id="38"/>
      <w:bookmarkEnd w:id="39"/>
      <w:bookmarkEnd w:id="40"/>
      <w:bookmarkEnd w:id="41"/>
      <w:r w:rsidRPr="001263D1">
        <w:rPr>
          <w:sz w:val="24"/>
          <w:szCs w:val="24"/>
          <w:lang w:eastAsia="en-US"/>
        </w:rPr>
        <w:t>CALCULATION</w:t>
      </w:r>
    </w:p>
    <w:p w14:paraId="56A247BA" w14:textId="77777777" w:rsidR="007A1383" w:rsidRPr="00C53547" w:rsidRDefault="007A1383" w:rsidP="007A1383">
      <w:pPr>
        <w:pStyle w:val="Indent2"/>
        <w:spacing w:after="0"/>
        <w:ind w:left="567" w:right="301"/>
        <w:rPr>
          <w:rFonts w:cs="Arial"/>
          <w:color w:val="FF0000"/>
          <w:sz w:val="24"/>
          <w:szCs w:val="24"/>
          <w:lang w:val="en-GB"/>
        </w:rPr>
      </w:pPr>
    </w:p>
    <w:p w14:paraId="2AA68768" w14:textId="43251053" w:rsidR="007A1383" w:rsidRPr="007B3B90" w:rsidRDefault="007A1383" w:rsidP="009E0130">
      <w:pPr>
        <w:tabs>
          <w:tab w:val="left" w:pos="9639"/>
          <w:tab w:val="left" w:pos="9781"/>
          <w:tab w:val="left" w:pos="10065"/>
        </w:tabs>
        <w:ind w:right="142"/>
        <w:jc w:val="both"/>
        <w:rPr>
          <w:rFonts w:cs="Arial"/>
        </w:rPr>
      </w:pPr>
      <w:r w:rsidRPr="007B3B90">
        <w:rPr>
          <w:rFonts w:cs="Arial"/>
          <w:bCs/>
        </w:rPr>
        <w:t xml:space="preserve">The estimates of participants are calculated on a pragmatic basis. </w:t>
      </w:r>
      <w:r w:rsidRPr="007B3B90">
        <w:rPr>
          <w:rFonts w:cs="Arial"/>
        </w:rPr>
        <w:t xml:space="preserve">Each of the </w:t>
      </w:r>
      <w:r w:rsidR="0030599A" w:rsidRPr="007B3B90">
        <w:rPr>
          <w:rFonts w:cs="Arial"/>
        </w:rPr>
        <w:t xml:space="preserve">confirmed </w:t>
      </w:r>
      <w:r w:rsidRPr="007B3B90">
        <w:rPr>
          <w:rFonts w:cs="Arial"/>
        </w:rPr>
        <w:t xml:space="preserve">participating </w:t>
      </w:r>
      <w:r w:rsidR="003F0124" w:rsidRPr="007B3B90">
        <w:rPr>
          <w:rFonts w:cs="Arial"/>
        </w:rPr>
        <w:t>centres</w:t>
      </w:r>
      <w:r w:rsidRPr="007B3B90">
        <w:rPr>
          <w:rFonts w:cs="Arial"/>
        </w:rPr>
        <w:t xml:space="preserve"> has significant experience in EVAR and treatment of patients with aneurysmal disease, performing 319 elective EVARs annually combined in 2018. We plan to assess over 2</w:t>
      </w:r>
      <w:r w:rsidR="005217D2" w:rsidRPr="007B3B90">
        <w:rPr>
          <w:rFonts w:cs="Arial"/>
        </w:rPr>
        <w:t>0</w:t>
      </w:r>
      <w:r w:rsidRPr="007B3B90">
        <w:rPr>
          <w:rFonts w:cs="Arial"/>
        </w:rPr>
        <w:t xml:space="preserve">0 patients for eligibility. We estimate that this will allow inclusion of approximately 100 patients in the STAR pathway in 12-months which </w:t>
      </w:r>
      <w:r w:rsidR="005217D2" w:rsidRPr="007B3B90">
        <w:rPr>
          <w:rFonts w:cs="Arial"/>
        </w:rPr>
        <w:t>s</w:t>
      </w:r>
      <w:r w:rsidRPr="007B3B90">
        <w:rPr>
          <w:rFonts w:cs="Arial"/>
        </w:rPr>
        <w:t xml:space="preserve">hould be achievable. </w:t>
      </w:r>
    </w:p>
    <w:p w14:paraId="2ACD38A5" w14:textId="77777777" w:rsidR="009E0130" w:rsidRPr="00EA214F" w:rsidRDefault="009E0130" w:rsidP="009E0130">
      <w:pPr>
        <w:pStyle w:val="Indent3"/>
        <w:spacing w:after="0"/>
        <w:ind w:left="0" w:right="301"/>
        <w:rPr>
          <w:rFonts w:cs="Arial"/>
          <w:color w:val="000000" w:themeColor="text1"/>
          <w:sz w:val="24"/>
          <w:szCs w:val="24"/>
          <w:lang w:val="en-GB"/>
        </w:rPr>
      </w:pPr>
      <w:bookmarkStart w:id="42" w:name="_Toc193768038"/>
    </w:p>
    <w:p w14:paraId="1E02E138" w14:textId="1C236FEB" w:rsidR="009E0130" w:rsidRDefault="009E0130" w:rsidP="009145A7">
      <w:pPr>
        <w:pStyle w:val="Indent3"/>
        <w:spacing w:after="0"/>
        <w:ind w:left="0"/>
        <w:jc w:val="both"/>
        <w:rPr>
          <w:rFonts w:cs="Arial"/>
          <w:sz w:val="24"/>
          <w:szCs w:val="24"/>
          <w:lang w:val="en-GB"/>
        </w:rPr>
      </w:pPr>
      <w:r w:rsidRPr="007B3B90">
        <w:rPr>
          <w:rFonts w:cs="Arial"/>
          <w:sz w:val="24"/>
          <w:szCs w:val="24"/>
          <w:lang w:val="en-GB"/>
        </w:rPr>
        <w:t>Analysis will occur at the end of the study. No Interim analysis is planned.</w:t>
      </w:r>
      <w:r w:rsidR="005217D2" w:rsidRPr="007B3B90">
        <w:rPr>
          <w:rFonts w:cs="Arial"/>
          <w:sz w:val="24"/>
          <w:szCs w:val="24"/>
          <w:lang w:val="en-GB"/>
        </w:rPr>
        <w:t xml:space="preserve"> A full analysis plan will be developed before database locks.</w:t>
      </w:r>
      <w:r w:rsidR="00CD68D1" w:rsidRPr="007B3B90">
        <w:rPr>
          <w:rFonts w:cs="Arial"/>
          <w:sz w:val="24"/>
          <w:szCs w:val="24"/>
          <w:lang w:val="en-GB"/>
        </w:rPr>
        <w:t xml:space="preserve">  The statistical analysis plan will be prepared by </w:t>
      </w:r>
      <w:r w:rsidR="0030599A" w:rsidRPr="007B3B90">
        <w:rPr>
          <w:rFonts w:cs="Arial"/>
          <w:sz w:val="24"/>
          <w:szCs w:val="24"/>
          <w:lang w:val="en-GB"/>
        </w:rPr>
        <w:t>Dr Manuel Gome</w:t>
      </w:r>
      <w:r w:rsidR="0020412E">
        <w:rPr>
          <w:rFonts w:cs="Arial"/>
          <w:sz w:val="24"/>
          <w:szCs w:val="24"/>
          <w:lang w:val="en-GB"/>
        </w:rPr>
        <w:t>s,</w:t>
      </w:r>
      <w:r w:rsidR="0020412E" w:rsidRPr="0020412E">
        <w:rPr>
          <w:rFonts w:cs="Arial"/>
          <w:sz w:val="24"/>
          <w:szCs w:val="24"/>
          <w:lang w:val="en-GB"/>
        </w:rPr>
        <w:t xml:space="preserve"> an Associate Professor in Health Economics, at University College London </w:t>
      </w:r>
      <w:r w:rsidR="0030599A" w:rsidRPr="007B3B90">
        <w:rPr>
          <w:rFonts w:cs="Arial"/>
          <w:sz w:val="24"/>
          <w:szCs w:val="24"/>
          <w:lang w:val="en-GB"/>
        </w:rPr>
        <w:t>and Miss Anna Pouncey, senior clinical research fellow at Imperial College London.</w:t>
      </w:r>
      <w:r w:rsidR="009145A7">
        <w:rPr>
          <w:rFonts w:cs="Arial"/>
          <w:sz w:val="24"/>
          <w:szCs w:val="24"/>
          <w:lang w:val="en-GB"/>
        </w:rPr>
        <w:t xml:space="preserve"> Overall, statistical analysis will be overlooked by Professor Janet Powel.</w:t>
      </w:r>
    </w:p>
    <w:p w14:paraId="3015B1CF" w14:textId="77777777" w:rsidR="00221D0D" w:rsidRPr="007B3B90" w:rsidRDefault="00221D0D" w:rsidP="0030599A">
      <w:pPr>
        <w:pStyle w:val="Indent3"/>
        <w:spacing w:after="0"/>
        <w:ind w:left="0"/>
        <w:rPr>
          <w:rFonts w:cs="Arial"/>
          <w:sz w:val="24"/>
          <w:szCs w:val="24"/>
          <w:lang w:val="en-GB"/>
        </w:rPr>
      </w:pPr>
    </w:p>
    <w:p w14:paraId="2EC603D9" w14:textId="77777777" w:rsidR="0097400A" w:rsidRDefault="0097400A" w:rsidP="009E0130">
      <w:pPr>
        <w:pStyle w:val="Heading3"/>
        <w:spacing w:before="0" w:after="0"/>
        <w:ind w:right="301"/>
        <w:rPr>
          <w:sz w:val="24"/>
          <w:szCs w:val="24"/>
          <w:lang w:eastAsia="en-US"/>
        </w:rPr>
      </w:pPr>
      <w:bookmarkStart w:id="43" w:name="_Toc63938612"/>
    </w:p>
    <w:p w14:paraId="23A20253" w14:textId="0C3A2C66" w:rsidR="009E0130" w:rsidRPr="007B3B90" w:rsidRDefault="001F4480" w:rsidP="009E0130">
      <w:pPr>
        <w:pStyle w:val="Heading3"/>
        <w:spacing w:before="0" w:after="0"/>
        <w:ind w:right="301"/>
        <w:rPr>
          <w:sz w:val="24"/>
          <w:szCs w:val="24"/>
          <w:lang w:eastAsia="en-US"/>
        </w:rPr>
      </w:pPr>
      <w:r w:rsidRPr="007B3B90">
        <w:rPr>
          <w:sz w:val="24"/>
          <w:szCs w:val="24"/>
          <w:lang w:eastAsia="en-US"/>
        </w:rPr>
        <w:t xml:space="preserve">POPULATION TO BE ANALYSED </w:t>
      </w:r>
      <w:bookmarkEnd w:id="43"/>
    </w:p>
    <w:p w14:paraId="193FE9EB" w14:textId="77777777" w:rsidR="009E0130" w:rsidRPr="007B3B90" w:rsidRDefault="009E0130" w:rsidP="009E0130">
      <w:pPr>
        <w:pStyle w:val="Heading3"/>
        <w:spacing w:before="0" w:after="0"/>
        <w:ind w:left="567" w:right="301"/>
        <w:rPr>
          <w:sz w:val="24"/>
          <w:szCs w:val="24"/>
          <w:lang w:eastAsia="en-US"/>
        </w:rPr>
      </w:pPr>
    </w:p>
    <w:p w14:paraId="43FDA5F3" w14:textId="16235B13" w:rsidR="009E0130" w:rsidRPr="007B3B90" w:rsidRDefault="009E0130" w:rsidP="00A1487C">
      <w:pPr>
        <w:pStyle w:val="Heading3"/>
        <w:spacing w:before="0" w:after="0"/>
        <w:ind w:right="142"/>
        <w:jc w:val="both"/>
        <w:rPr>
          <w:b w:val="0"/>
          <w:bCs w:val="0"/>
          <w:sz w:val="24"/>
          <w:szCs w:val="24"/>
          <w:lang w:eastAsia="en-US"/>
        </w:rPr>
      </w:pPr>
      <w:bookmarkStart w:id="44" w:name="_Toc63938613"/>
      <w:r w:rsidRPr="007B3B90">
        <w:rPr>
          <w:b w:val="0"/>
          <w:bCs w:val="0"/>
          <w:sz w:val="24"/>
          <w:szCs w:val="24"/>
          <w:lang w:eastAsia="en-US"/>
        </w:rPr>
        <w:t>All patients with AAA with be analysed for eligibility and all patients eligible will be assessed for uptake.</w:t>
      </w:r>
      <w:bookmarkEnd w:id="44"/>
      <w:r w:rsidRPr="007B3B90">
        <w:rPr>
          <w:b w:val="0"/>
          <w:bCs w:val="0"/>
          <w:sz w:val="24"/>
          <w:szCs w:val="24"/>
          <w:lang w:eastAsia="en-US"/>
        </w:rPr>
        <w:t xml:space="preserve"> All patients enrolled in the study will be analysed in full, and the viability, safety and acceptability and cost will</w:t>
      </w:r>
      <w:r w:rsidR="0097400A">
        <w:rPr>
          <w:b w:val="0"/>
          <w:bCs w:val="0"/>
          <w:sz w:val="24"/>
          <w:szCs w:val="24"/>
          <w:lang w:eastAsia="en-US"/>
        </w:rPr>
        <w:t xml:space="preserve"> be</w:t>
      </w:r>
      <w:r w:rsidRPr="007B3B90">
        <w:rPr>
          <w:b w:val="0"/>
          <w:bCs w:val="0"/>
          <w:sz w:val="24"/>
          <w:szCs w:val="24"/>
          <w:lang w:eastAsia="en-US"/>
        </w:rPr>
        <w:t xml:space="preserve"> calculated in full.</w:t>
      </w:r>
    </w:p>
    <w:p w14:paraId="74D4435A" w14:textId="630C866C" w:rsidR="009E0130" w:rsidRPr="007B3B90" w:rsidRDefault="009E0130" w:rsidP="009E0130">
      <w:pPr>
        <w:pStyle w:val="Heading3"/>
        <w:spacing w:before="0" w:after="0"/>
        <w:ind w:left="567" w:right="301"/>
        <w:rPr>
          <w:sz w:val="24"/>
          <w:szCs w:val="24"/>
          <w:lang w:eastAsia="en-US"/>
        </w:rPr>
      </w:pPr>
    </w:p>
    <w:p w14:paraId="728DD079" w14:textId="77777777" w:rsidR="005217D2" w:rsidRPr="007B3B90" w:rsidRDefault="005217D2" w:rsidP="0030599A"/>
    <w:p w14:paraId="0E28B900" w14:textId="1A2EA91E" w:rsidR="009E0130" w:rsidRPr="007B3B90" w:rsidRDefault="001F4480" w:rsidP="009E0130">
      <w:pPr>
        <w:pStyle w:val="Heading3"/>
        <w:spacing w:before="0" w:after="0"/>
        <w:ind w:right="301"/>
        <w:rPr>
          <w:sz w:val="24"/>
          <w:szCs w:val="24"/>
          <w:lang w:eastAsia="en-US"/>
        </w:rPr>
      </w:pPr>
      <w:r w:rsidRPr="007B3B90">
        <w:rPr>
          <w:sz w:val="24"/>
          <w:szCs w:val="24"/>
          <w:lang w:eastAsia="en-US"/>
        </w:rPr>
        <w:t>ANALYSIS</w:t>
      </w:r>
    </w:p>
    <w:p w14:paraId="4B4DFEA7" w14:textId="77777777" w:rsidR="009E0130" w:rsidRPr="007B3B90" w:rsidRDefault="009E0130" w:rsidP="009E0130">
      <w:pPr>
        <w:pStyle w:val="Indent3"/>
        <w:spacing w:after="0"/>
        <w:ind w:left="567" w:right="301"/>
        <w:jc w:val="both"/>
        <w:rPr>
          <w:rFonts w:cs="Arial"/>
          <w:sz w:val="24"/>
          <w:szCs w:val="24"/>
          <w:lang w:val="en-GB"/>
        </w:rPr>
      </w:pPr>
    </w:p>
    <w:p w14:paraId="0A2F3BB7" w14:textId="3780081E" w:rsidR="009E0130" w:rsidRPr="007B3B90" w:rsidRDefault="009E0130" w:rsidP="003F0124">
      <w:pPr>
        <w:tabs>
          <w:tab w:val="left" w:pos="9639"/>
          <w:tab w:val="left" w:pos="9781"/>
          <w:tab w:val="left" w:pos="10065"/>
        </w:tabs>
        <w:ind w:right="142"/>
        <w:jc w:val="both"/>
        <w:rPr>
          <w:rFonts w:cs="Arial"/>
        </w:rPr>
      </w:pPr>
      <w:r w:rsidRPr="007A2B36">
        <w:rPr>
          <w:rFonts w:cs="Arial"/>
        </w:rPr>
        <w:t xml:space="preserve">A formal statistical analysis plan will be determined before database lock. We will assess the proportion of patients suitable for and enrolling </w:t>
      </w:r>
      <w:r w:rsidR="00CC0DCA" w:rsidRPr="007A2B36">
        <w:rPr>
          <w:rFonts w:cs="Arial"/>
        </w:rPr>
        <w:t xml:space="preserve">in </w:t>
      </w:r>
      <w:r w:rsidRPr="007A2B36">
        <w:rPr>
          <w:rFonts w:cs="Arial"/>
        </w:rPr>
        <w:t xml:space="preserve">STAR. The wider acceptability will be assessed in terms of </w:t>
      </w:r>
      <w:r w:rsidR="00DA64E3" w:rsidRPr="007A2B36">
        <w:rPr>
          <w:rFonts w:cs="Arial"/>
        </w:rPr>
        <w:t xml:space="preserve">responses to </w:t>
      </w:r>
      <w:r w:rsidR="008A7A2B" w:rsidRPr="007A2B36">
        <w:rPr>
          <w:rFonts w:cs="Arial"/>
        </w:rPr>
        <w:t xml:space="preserve">the </w:t>
      </w:r>
      <w:r w:rsidRPr="007A2B36">
        <w:rPr>
          <w:rFonts w:cs="Arial"/>
        </w:rPr>
        <w:t>PROM</w:t>
      </w:r>
      <w:r w:rsidR="008A7A2B" w:rsidRPr="007A2B36">
        <w:rPr>
          <w:rFonts w:cs="Arial"/>
        </w:rPr>
        <w:t>s</w:t>
      </w:r>
      <w:r w:rsidRPr="007A2B36">
        <w:rPr>
          <w:rFonts w:cs="Arial"/>
        </w:rPr>
        <w:t xml:space="preserve"> and community health resources used. Viability of STAR will be assessed by reporting how many of the short stay admissions are discharged within 24 hours, without need for readmission or mortality (aneurysm related and all cause) within 3</w:t>
      </w:r>
      <w:r w:rsidR="00CC2F0C" w:rsidRPr="007A2B36">
        <w:rPr>
          <w:rFonts w:cs="Arial"/>
        </w:rPr>
        <w:t>0</w:t>
      </w:r>
      <w:r w:rsidR="00AF514C" w:rsidRPr="007A2B36">
        <w:rPr>
          <w:rFonts w:cs="Arial"/>
        </w:rPr>
        <w:t xml:space="preserve"> </w:t>
      </w:r>
      <w:r w:rsidRPr="007A2B36">
        <w:rPr>
          <w:rFonts w:cs="Arial"/>
        </w:rPr>
        <w:t>days</w:t>
      </w:r>
      <w:r w:rsidR="00F35E17" w:rsidRPr="007A2B36">
        <w:rPr>
          <w:rFonts w:cs="Arial"/>
        </w:rPr>
        <w:t>,</w:t>
      </w:r>
      <w:r w:rsidRPr="007A2B36">
        <w:rPr>
          <w:rFonts w:cs="Arial"/>
        </w:rPr>
        <w:t xml:space="preserve"> </w:t>
      </w:r>
      <w:r w:rsidR="00AF514C" w:rsidRPr="007A2B36">
        <w:rPr>
          <w:rFonts w:cs="Arial"/>
        </w:rPr>
        <w:t xml:space="preserve">3, </w:t>
      </w:r>
      <w:r w:rsidR="00F35E17" w:rsidRPr="007A2B36">
        <w:rPr>
          <w:rFonts w:cs="Arial"/>
        </w:rPr>
        <w:t xml:space="preserve">and </w:t>
      </w:r>
      <w:r w:rsidR="00AF514C" w:rsidRPr="007A2B36">
        <w:rPr>
          <w:rFonts w:cs="Arial"/>
        </w:rPr>
        <w:t>6-</w:t>
      </w:r>
      <w:r w:rsidRPr="007A2B36">
        <w:rPr>
          <w:rFonts w:cs="Arial"/>
        </w:rPr>
        <w:t>months of endograft placement. The safety of the pathway will be assessed from the number of adverse events reported within the same period</w:t>
      </w:r>
      <w:r w:rsidR="00AF514C" w:rsidRPr="007A2B36">
        <w:rPr>
          <w:rFonts w:cs="Arial"/>
        </w:rPr>
        <w:t xml:space="preserve"> and by analysing the clinical data from routine appointments at approximately 12-months</w:t>
      </w:r>
      <w:r w:rsidRPr="007A2B36">
        <w:rPr>
          <w:rFonts w:cs="Arial"/>
        </w:rPr>
        <w:t xml:space="preserve">. Data will be reported by </w:t>
      </w:r>
      <w:proofErr w:type="spellStart"/>
      <w:r w:rsidRPr="007A2B36">
        <w:rPr>
          <w:rFonts w:cs="Arial"/>
        </w:rPr>
        <w:t>tertiles</w:t>
      </w:r>
      <w:proofErr w:type="spellEnd"/>
      <w:r w:rsidRPr="007A2B36">
        <w:rPr>
          <w:rFonts w:cs="Arial"/>
        </w:rPr>
        <w:t xml:space="preserve"> of age and sex. The effect of age, sex and aneurysm diameter on eligibility, uptake, viability, acceptability and safety will be investigated by logistic regression analysis.</w:t>
      </w:r>
      <w:r w:rsidRPr="007B3B90">
        <w:rPr>
          <w:rFonts w:cs="Arial"/>
        </w:rPr>
        <w:t xml:space="preserve"> </w:t>
      </w:r>
    </w:p>
    <w:p w14:paraId="5112964C" w14:textId="77777777" w:rsidR="009E0130" w:rsidRPr="007B3B90" w:rsidRDefault="009E0130" w:rsidP="009E0130">
      <w:pPr>
        <w:tabs>
          <w:tab w:val="left" w:pos="9639"/>
          <w:tab w:val="left" w:pos="9781"/>
          <w:tab w:val="left" w:pos="10065"/>
        </w:tabs>
        <w:ind w:left="567" w:right="301"/>
        <w:jc w:val="both"/>
        <w:rPr>
          <w:rFonts w:cs="Arial"/>
        </w:rPr>
      </w:pPr>
    </w:p>
    <w:p w14:paraId="511CD200" w14:textId="145AB527" w:rsidR="009E0130" w:rsidRPr="007B3B90" w:rsidRDefault="009E0130" w:rsidP="003F0124">
      <w:pPr>
        <w:tabs>
          <w:tab w:val="left" w:pos="9639"/>
          <w:tab w:val="left" w:pos="9781"/>
          <w:tab w:val="left" w:pos="10065"/>
        </w:tabs>
        <w:ind w:right="142"/>
        <w:jc w:val="both"/>
        <w:rPr>
          <w:rFonts w:cs="Arial"/>
        </w:rPr>
      </w:pPr>
      <w:r w:rsidRPr="007B3B90">
        <w:rPr>
          <w:rFonts w:cs="Arial"/>
        </w:rPr>
        <w:t xml:space="preserve">Current work consisting of a retrospective data collection of </w:t>
      </w:r>
      <w:r w:rsidR="00E97E12">
        <w:rPr>
          <w:rFonts w:cs="Arial"/>
        </w:rPr>
        <w:t xml:space="preserve">36 </w:t>
      </w:r>
      <w:r w:rsidRPr="007B3B90">
        <w:rPr>
          <w:rFonts w:cs="Arial"/>
        </w:rPr>
        <w:t>patients undergoing elective infrarenal EVAR at a single institution with a view to explore the drivers of inpatient, outpatient and total costs of EVAR, and will form a basis for comparison.</w:t>
      </w:r>
    </w:p>
    <w:p w14:paraId="59B13585" w14:textId="77777777" w:rsidR="009E0130" w:rsidRPr="007B3B90" w:rsidRDefault="009E0130" w:rsidP="009E0130">
      <w:pPr>
        <w:tabs>
          <w:tab w:val="left" w:pos="9639"/>
          <w:tab w:val="left" w:pos="9781"/>
          <w:tab w:val="left" w:pos="10065"/>
        </w:tabs>
        <w:ind w:left="567" w:right="301"/>
        <w:jc w:val="both"/>
        <w:rPr>
          <w:rFonts w:cs="Arial"/>
        </w:rPr>
      </w:pPr>
    </w:p>
    <w:p w14:paraId="7E5F2241" w14:textId="07687A22" w:rsidR="009E0130" w:rsidRPr="007B3B90" w:rsidRDefault="009E0130" w:rsidP="003F0124">
      <w:pPr>
        <w:tabs>
          <w:tab w:val="left" w:pos="9639"/>
          <w:tab w:val="left" w:pos="9781"/>
          <w:tab w:val="left" w:pos="10065"/>
        </w:tabs>
        <w:ind w:right="142"/>
        <w:jc w:val="both"/>
        <w:rPr>
          <w:rFonts w:cs="Arial"/>
        </w:rPr>
      </w:pPr>
      <w:r w:rsidRPr="007B3B90">
        <w:rPr>
          <w:rFonts w:cs="Arial"/>
        </w:rPr>
        <w:t>The health economic analysis will take the perspective of the English NHS an</w:t>
      </w:r>
      <w:r w:rsidR="00AD7C82">
        <w:rPr>
          <w:rFonts w:cs="Arial"/>
        </w:rPr>
        <w:t xml:space="preserve">d </w:t>
      </w:r>
      <w:r w:rsidRPr="007B3B90">
        <w:rPr>
          <w:rFonts w:cs="Arial"/>
        </w:rPr>
        <w:t>Social Services</w:t>
      </w:r>
      <w:r w:rsidR="00455DBD">
        <w:rPr>
          <w:rFonts w:cs="Arial"/>
        </w:rPr>
        <w:t>. I</w:t>
      </w:r>
      <w:r w:rsidR="00AD7C82">
        <w:rPr>
          <w:rFonts w:cs="Arial"/>
        </w:rPr>
        <w:t>nformal care</w:t>
      </w:r>
      <w:r w:rsidR="00455DBD">
        <w:rPr>
          <w:rFonts w:cs="Arial"/>
        </w:rPr>
        <w:t xml:space="preserve"> will also be accounted for</w:t>
      </w:r>
      <w:r w:rsidRPr="007B3B90">
        <w:rPr>
          <w:rFonts w:cs="Arial"/>
        </w:rPr>
        <w:t xml:space="preserve">. </w:t>
      </w:r>
      <w:r w:rsidR="003F3B8B">
        <w:rPr>
          <w:rFonts w:cs="Arial"/>
        </w:rPr>
        <w:t xml:space="preserve">This will be led by </w:t>
      </w:r>
      <w:r w:rsidR="001B5113">
        <w:rPr>
          <w:rFonts w:cs="Arial"/>
        </w:rPr>
        <w:t>Associate Professor</w:t>
      </w:r>
      <w:r w:rsidR="003F3B8B">
        <w:rPr>
          <w:rFonts w:cs="Arial"/>
        </w:rPr>
        <w:t>,</w:t>
      </w:r>
      <w:r w:rsidR="001B5113">
        <w:rPr>
          <w:rFonts w:cs="Arial"/>
        </w:rPr>
        <w:t xml:space="preserve"> </w:t>
      </w:r>
      <w:r w:rsidRPr="007B3B90">
        <w:rPr>
          <w:rFonts w:cs="Arial"/>
        </w:rPr>
        <w:t>Dr Manuel Gomes</w:t>
      </w:r>
      <w:r w:rsidR="001B5113">
        <w:rPr>
          <w:rFonts w:cs="Arial"/>
        </w:rPr>
        <w:t>.</w:t>
      </w:r>
    </w:p>
    <w:bookmarkEnd w:id="42"/>
    <w:p w14:paraId="2C66BB71" w14:textId="77777777" w:rsidR="007A1383" w:rsidRPr="007B3B90" w:rsidRDefault="007A1383" w:rsidP="003F0124">
      <w:pPr>
        <w:tabs>
          <w:tab w:val="left" w:pos="9639"/>
          <w:tab w:val="left" w:pos="9781"/>
          <w:tab w:val="left" w:pos="10065"/>
        </w:tabs>
        <w:ind w:right="142"/>
        <w:jc w:val="both"/>
        <w:rPr>
          <w:rFonts w:cs="Arial"/>
        </w:rPr>
      </w:pPr>
    </w:p>
    <w:p w14:paraId="7462958D" w14:textId="77777777" w:rsidR="00663512" w:rsidRPr="007B3B90" w:rsidRDefault="00663512" w:rsidP="003F0124">
      <w:pPr>
        <w:ind w:right="142"/>
        <w:jc w:val="both"/>
      </w:pPr>
      <w:r w:rsidRPr="007B3B90">
        <w:lastRenderedPageBreak/>
        <w:t xml:space="preserve">Data and all appropriate documentation will be stored for a minimum of 10 years after the completion of the study, including the follow-up period.  </w:t>
      </w:r>
    </w:p>
    <w:p w14:paraId="05102CA0" w14:textId="77777777" w:rsidR="00663512" w:rsidRPr="007B3B90" w:rsidRDefault="00663512" w:rsidP="00663512"/>
    <w:p w14:paraId="588CA6E7" w14:textId="77777777" w:rsidR="00663512" w:rsidRPr="007B3B90" w:rsidRDefault="00663512" w:rsidP="00663512"/>
    <w:p w14:paraId="26EBCF46" w14:textId="77777777" w:rsidR="00663512" w:rsidRPr="007B3B90" w:rsidRDefault="00BE7282" w:rsidP="00D057F1">
      <w:pPr>
        <w:pStyle w:val="Heading1"/>
        <w:rPr>
          <w:sz w:val="24"/>
        </w:rPr>
      </w:pPr>
      <w:bookmarkStart w:id="45" w:name="_Toc33098119"/>
      <w:bookmarkStart w:id="46" w:name="_Toc33089443"/>
      <w:r w:rsidRPr="007B3B90">
        <w:rPr>
          <w:sz w:val="24"/>
        </w:rPr>
        <w:t>REGULATORY ISSUES</w:t>
      </w:r>
      <w:bookmarkEnd w:id="45"/>
      <w:r w:rsidRPr="007B3B90">
        <w:rPr>
          <w:sz w:val="24"/>
        </w:rPr>
        <w:t xml:space="preserve"> </w:t>
      </w:r>
      <w:bookmarkEnd w:id="46"/>
    </w:p>
    <w:p w14:paraId="3F7B84B9" w14:textId="77777777" w:rsidR="00663512" w:rsidRPr="007B3B90" w:rsidRDefault="00663512" w:rsidP="00663512"/>
    <w:p w14:paraId="009F9450" w14:textId="73594543" w:rsidR="00663512" w:rsidRPr="007B3B90" w:rsidRDefault="00D057F1" w:rsidP="00880434">
      <w:pPr>
        <w:pStyle w:val="QAHeading2"/>
        <w:numPr>
          <w:ilvl w:val="1"/>
          <w:numId w:val="2"/>
        </w:numPr>
        <w:rPr>
          <w:sz w:val="24"/>
          <w:szCs w:val="24"/>
        </w:rPr>
      </w:pPr>
      <w:bookmarkStart w:id="47" w:name="_Toc33098120"/>
      <w:bookmarkStart w:id="48" w:name="_Toc33089444"/>
      <w:r w:rsidRPr="007B3B90">
        <w:rPr>
          <w:sz w:val="24"/>
          <w:szCs w:val="24"/>
        </w:rPr>
        <w:t>ETHICS APPROVAL</w:t>
      </w:r>
      <w:bookmarkEnd w:id="47"/>
      <w:r w:rsidRPr="007B3B90">
        <w:rPr>
          <w:sz w:val="24"/>
          <w:szCs w:val="24"/>
        </w:rPr>
        <w:t xml:space="preserve"> </w:t>
      </w:r>
      <w:bookmarkEnd w:id="48"/>
    </w:p>
    <w:p w14:paraId="42C30FBE" w14:textId="77777777" w:rsidR="0082031C" w:rsidRPr="007B3B90" w:rsidRDefault="0082031C" w:rsidP="0082031C">
      <w:pPr>
        <w:pStyle w:val="QAHeading2"/>
        <w:ind w:left="1440"/>
        <w:rPr>
          <w:sz w:val="24"/>
          <w:szCs w:val="24"/>
        </w:rPr>
      </w:pPr>
    </w:p>
    <w:p w14:paraId="05097225" w14:textId="7E14A17B" w:rsidR="00663512" w:rsidRPr="007B3B90" w:rsidRDefault="00663512" w:rsidP="003F0124">
      <w:pPr>
        <w:ind w:right="142"/>
        <w:jc w:val="both"/>
        <w:rPr>
          <w:color w:val="000000"/>
        </w:rPr>
      </w:pPr>
      <w:r w:rsidRPr="007B3B90">
        <w:rPr>
          <w:color w:val="000000"/>
        </w:rPr>
        <w:t xml:space="preserve">The Study Coordination Centre has obtained </w:t>
      </w:r>
      <w:r w:rsidR="00C20B93" w:rsidRPr="007B3B90">
        <w:rPr>
          <w:color w:val="000000"/>
        </w:rPr>
        <w:t xml:space="preserve">favourable opinion </w:t>
      </w:r>
      <w:r w:rsidRPr="007B3B90">
        <w:rPr>
          <w:color w:val="000000"/>
        </w:rPr>
        <w:t>from the</w:t>
      </w:r>
      <w:r w:rsidR="00A1487C">
        <w:rPr>
          <w:color w:val="000000"/>
        </w:rPr>
        <w:t xml:space="preserve"> Bromley </w:t>
      </w:r>
      <w:r w:rsidRPr="007B3B90">
        <w:rPr>
          <w:color w:val="000000"/>
        </w:rPr>
        <w:t>Research Ethics Committee (REC) and Health Re</w:t>
      </w:r>
      <w:r w:rsidR="00B73CD3">
        <w:rPr>
          <w:color w:val="000000"/>
        </w:rPr>
        <w:t>search</w:t>
      </w:r>
      <w:r w:rsidRPr="007B3B90">
        <w:rPr>
          <w:color w:val="000000"/>
        </w:rPr>
        <w:t xml:space="preserve"> Authority (HRA). The study must also receive confirmation of capacity and capability from each participating NHS Trust before accepting participants into the study or any research activity is carried out. The study will be conducted in accordance with the recommendations for physicians involved in research on human subjects adopted by the 18th World Medical Assembly, Helsinki 1964 and later revisions.</w:t>
      </w:r>
    </w:p>
    <w:p w14:paraId="566CA7F1" w14:textId="0B1A9D13" w:rsidR="00663512" w:rsidRPr="007B3B90" w:rsidRDefault="00663512" w:rsidP="00663512"/>
    <w:p w14:paraId="170885B9" w14:textId="77777777" w:rsidR="001F4480" w:rsidRPr="007B3B90" w:rsidRDefault="001F4480" w:rsidP="00663512"/>
    <w:p w14:paraId="2173BE39" w14:textId="0B16ECEE" w:rsidR="00663512" w:rsidRPr="007B3B90" w:rsidRDefault="00D057F1" w:rsidP="00880434">
      <w:pPr>
        <w:pStyle w:val="QAHeading2"/>
        <w:numPr>
          <w:ilvl w:val="1"/>
          <w:numId w:val="2"/>
        </w:numPr>
        <w:rPr>
          <w:sz w:val="24"/>
          <w:szCs w:val="24"/>
        </w:rPr>
      </w:pPr>
      <w:bookmarkStart w:id="49" w:name="_Toc33098121"/>
      <w:bookmarkStart w:id="50" w:name="_Toc33089445"/>
      <w:r w:rsidRPr="007B3B90">
        <w:rPr>
          <w:sz w:val="24"/>
          <w:szCs w:val="24"/>
        </w:rPr>
        <w:t>CONSENT</w:t>
      </w:r>
      <w:bookmarkEnd w:id="49"/>
      <w:r w:rsidRPr="007B3B90">
        <w:rPr>
          <w:sz w:val="24"/>
          <w:szCs w:val="24"/>
        </w:rPr>
        <w:t xml:space="preserve"> </w:t>
      </w:r>
      <w:bookmarkEnd w:id="50"/>
      <w:r w:rsidR="00663512" w:rsidRPr="007B3B90">
        <w:rPr>
          <w:sz w:val="24"/>
          <w:szCs w:val="24"/>
        </w:rPr>
        <w:t xml:space="preserve"> </w:t>
      </w:r>
    </w:p>
    <w:p w14:paraId="098C2208" w14:textId="77777777" w:rsidR="00CC2F0C" w:rsidRPr="007B3B90" w:rsidRDefault="00CC2F0C" w:rsidP="00B93F8F">
      <w:pPr>
        <w:pStyle w:val="QAHeading2"/>
        <w:ind w:left="1440"/>
        <w:rPr>
          <w:sz w:val="24"/>
          <w:szCs w:val="24"/>
        </w:rPr>
      </w:pPr>
    </w:p>
    <w:p w14:paraId="26F8843C" w14:textId="2983765E" w:rsidR="00006B76" w:rsidRPr="007B3B90" w:rsidRDefault="00A20A8B" w:rsidP="00663512">
      <w:pPr>
        <w:jc w:val="both"/>
        <w:rPr>
          <w:color w:val="000000"/>
        </w:rPr>
      </w:pPr>
      <w:r w:rsidRPr="007B3B90">
        <w:rPr>
          <w:color w:val="000000"/>
        </w:rPr>
        <w:t xml:space="preserve">Consent to enter the study </w:t>
      </w:r>
      <w:r w:rsidR="00006B76" w:rsidRPr="007B3B90">
        <w:rPr>
          <w:color w:val="000000"/>
        </w:rPr>
        <w:t>will</w:t>
      </w:r>
      <w:r w:rsidRPr="007B3B90">
        <w:rPr>
          <w:color w:val="000000"/>
        </w:rPr>
        <w:t xml:space="preserve"> be sought from each Participant only after a full explanation has been given, an information leaflet offered and time allowed </w:t>
      </w:r>
      <w:r w:rsidR="007709BD" w:rsidRPr="007B3B90">
        <w:rPr>
          <w:color w:val="000000"/>
        </w:rPr>
        <w:t xml:space="preserve">(minimum </w:t>
      </w:r>
      <w:r w:rsidR="00CC2F0C" w:rsidRPr="007B3B90">
        <w:rPr>
          <w:color w:val="000000"/>
        </w:rPr>
        <w:t>twenty-fours</w:t>
      </w:r>
      <w:r w:rsidR="007709BD" w:rsidRPr="007B3B90">
        <w:rPr>
          <w:color w:val="000000"/>
        </w:rPr>
        <w:t>)</w:t>
      </w:r>
      <w:r w:rsidR="00CC2F0C" w:rsidRPr="007B3B90">
        <w:rPr>
          <w:color w:val="000000"/>
        </w:rPr>
        <w:t xml:space="preserve"> </w:t>
      </w:r>
      <w:r w:rsidRPr="007B3B90">
        <w:rPr>
          <w:color w:val="000000"/>
        </w:rPr>
        <w:t>for consideration</w:t>
      </w:r>
      <w:r w:rsidR="00CC2F0C" w:rsidRPr="007B3B90">
        <w:rPr>
          <w:color w:val="000000"/>
        </w:rPr>
        <w:t xml:space="preserve">. </w:t>
      </w:r>
    </w:p>
    <w:p w14:paraId="2AB11304" w14:textId="66333D38" w:rsidR="00006B76" w:rsidRPr="007B3B90" w:rsidRDefault="00006B76" w:rsidP="00663512">
      <w:pPr>
        <w:jc w:val="both"/>
        <w:rPr>
          <w:color w:val="000000"/>
        </w:rPr>
      </w:pPr>
    </w:p>
    <w:p w14:paraId="56C07318" w14:textId="63E00864" w:rsidR="00006B76" w:rsidRPr="00B73CD3" w:rsidRDefault="00006B76" w:rsidP="00006B76">
      <w:pPr>
        <w:pStyle w:val="Indent2"/>
        <w:spacing w:after="0"/>
        <w:ind w:left="0" w:right="301"/>
        <w:jc w:val="both"/>
        <w:rPr>
          <w:rFonts w:cs="Arial"/>
          <w:sz w:val="24"/>
          <w:szCs w:val="24"/>
          <w:lang w:val="en-GB"/>
        </w:rPr>
      </w:pPr>
      <w:r w:rsidRPr="00B73CD3">
        <w:rPr>
          <w:rFonts w:cs="Arial"/>
          <w:sz w:val="24"/>
          <w:szCs w:val="24"/>
          <w:lang w:val="en-GB"/>
        </w:rPr>
        <w:t>The Investigator will verify that all potential Subjects for this study are provided with a consent form describing this study and sufficient information to make an informed decision about their participation.</w:t>
      </w:r>
    </w:p>
    <w:p w14:paraId="3AAC8AC3" w14:textId="77777777" w:rsidR="00006B76" w:rsidRPr="007B3B90" w:rsidRDefault="00006B76" w:rsidP="00663512">
      <w:pPr>
        <w:jc w:val="both"/>
        <w:rPr>
          <w:color w:val="000000"/>
        </w:rPr>
      </w:pPr>
    </w:p>
    <w:p w14:paraId="705559FC" w14:textId="69EB63CF" w:rsidR="00663512" w:rsidRPr="007B3B90" w:rsidRDefault="00A20A8B" w:rsidP="00663512">
      <w:pPr>
        <w:jc w:val="both"/>
        <w:rPr>
          <w:color w:val="000000"/>
        </w:rPr>
      </w:pPr>
      <w:r w:rsidRPr="007B3B90">
        <w:rPr>
          <w:color w:val="000000"/>
        </w:rPr>
        <w:t xml:space="preserve">The formal consent of a Participant using the approved consent form, </w:t>
      </w:r>
      <w:r w:rsidR="00006B76" w:rsidRPr="007B3B90">
        <w:rPr>
          <w:color w:val="000000"/>
        </w:rPr>
        <w:t>will</w:t>
      </w:r>
      <w:r w:rsidRPr="007B3B90">
        <w:rPr>
          <w:color w:val="000000"/>
        </w:rPr>
        <w:t xml:space="preserve"> be obtained by the local PI (or designated colleague detailed in the delegation log) </w:t>
      </w:r>
      <w:r w:rsidR="00CC2F0C" w:rsidRPr="007B3B90">
        <w:rPr>
          <w:color w:val="000000"/>
        </w:rPr>
        <w:t xml:space="preserve">before EVAR </w:t>
      </w:r>
      <w:r w:rsidRPr="007B3B90">
        <w:rPr>
          <w:color w:val="000000"/>
        </w:rPr>
        <w:t xml:space="preserve">and study data </w:t>
      </w:r>
      <w:r w:rsidR="00006B76" w:rsidRPr="007B3B90">
        <w:rPr>
          <w:color w:val="000000"/>
        </w:rPr>
        <w:t>will</w:t>
      </w:r>
      <w:r w:rsidRPr="007B3B90">
        <w:rPr>
          <w:color w:val="000000"/>
        </w:rPr>
        <w:t xml:space="preserve"> not be collected until informed consent has been obtained.</w:t>
      </w:r>
    </w:p>
    <w:p w14:paraId="1222EB4D" w14:textId="77777777" w:rsidR="00006B76" w:rsidRPr="00B73CD3" w:rsidRDefault="00006B76" w:rsidP="00D742AB">
      <w:pPr>
        <w:pStyle w:val="Indent2"/>
        <w:spacing w:after="0"/>
        <w:ind w:left="0" w:right="301"/>
        <w:jc w:val="both"/>
        <w:rPr>
          <w:rFonts w:cs="Arial"/>
          <w:sz w:val="24"/>
          <w:szCs w:val="24"/>
          <w:lang w:val="en-GB"/>
        </w:rPr>
      </w:pPr>
    </w:p>
    <w:p w14:paraId="282D2066" w14:textId="0C4A1C0E" w:rsidR="00D742AB" w:rsidRPr="00B73CD3" w:rsidRDefault="00D742AB" w:rsidP="00E874C5">
      <w:pPr>
        <w:pStyle w:val="Indent2"/>
        <w:spacing w:after="0"/>
        <w:ind w:left="0"/>
        <w:jc w:val="both"/>
        <w:rPr>
          <w:rFonts w:cs="Arial"/>
          <w:sz w:val="24"/>
          <w:szCs w:val="24"/>
          <w:lang w:val="en-GB"/>
        </w:rPr>
      </w:pPr>
      <w:r w:rsidRPr="00B73CD3">
        <w:rPr>
          <w:rFonts w:cs="Arial"/>
          <w:sz w:val="24"/>
          <w:szCs w:val="24"/>
          <w:lang w:val="en-GB"/>
        </w:rPr>
        <w:t>Any significant, new information which emerges while the study is in progress that may influence a Subject’s willingness to continue to take part in the study will be provided to the Subject.</w:t>
      </w:r>
    </w:p>
    <w:p w14:paraId="6640AA51" w14:textId="77777777" w:rsidR="00D742AB" w:rsidRPr="00B73CD3" w:rsidRDefault="00D742AB" w:rsidP="00D742AB">
      <w:pPr>
        <w:pStyle w:val="Indent2"/>
        <w:spacing w:after="0"/>
        <w:ind w:left="567" w:right="301"/>
        <w:jc w:val="both"/>
        <w:rPr>
          <w:rFonts w:cs="Arial"/>
          <w:sz w:val="24"/>
          <w:szCs w:val="24"/>
          <w:lang w:val="en-GB"/>
        </w:rPr>
      </w:pPr>
    </w:p>
    <w:p w14:paraId="59D2C748" w14:textId="63645760" w:rsidR="00D742AB" w:rsidRPr="00B73CD3" w:rsidRDefault="00D742AB" w:rsidP="00E874C5">
      <w:pPr>
        <w:pStyle w:val="Indent2"/>
        <w:spacing w:after="0"/>
        <w:ind w:left="0"/>
        <w:jc w:val="both"/>
        <w:rPr>
          <w:rFonts w:cs="Arial"/>
          <w:sz w:val="24"/>
          <w:szCs w:val="24"/>
          <w:lang w:val="en-GB"/>
        </w:rPr>
      </w:pPr>
      <w:r w:rsidRPr="00B73CD3">
        <w:rPr>
          <w:rFonts w:cs="Arial"/>
          <w:sz w:val="24"/>
          <w:szCs w:val="24"/>
          <w:lang w:val="en-GB"/>
        </w:rPr>
        <w:t>The Investigator shall verify that documentation of the acquisition of informed consent is recorded in each Subject’s records in accordance with applicable regulations.</w:t>
      </w:r>
    </w:p>
    <w:p w14:paraId="1B78D6BE" w14:textId="05D2FAD6" w:rsidR="00C20B93" w:rsidRPr="00B73CD3" w:rsidRDefault="00C20B93" w:rsidP="00D742AB">
      <w:pPr>
        <w:pStyle w:val="Indent2"/>
        <w:spacing w:after="0"/>
        <w:ind w:left="0" w:right="301"/>
        <w:jc w:val="both"/>
        <w:rPr>
          <w:rFonts w:cs="Arial"/>
          <w:sz w:val="24"/>
          <w:szCs w:val="24"/>
          <w:lang w:val="en-GB"/>
        </w:rPr>
      </w:pPr>
    </w:p>
    <w:p w14:paraId="7D055789" w14:textId="68A8BDBA" w:rsidR="00C20B93" w:rsidRPr="007B3B90" w:rsidRDefault="00C20B93" w:rsidP="00C20B93">
      <w:pPr>
        <w:jc w:val="both"/>
        <w:rPr>
          <w:color w:val="000000"/>
        </w:rPr>
      </w:pPr>
      <w:r w:rsidRPr="007B3B90">
        <w:rPr>
          <w:color w:val="000000"/>
        </w:rPr>
        <w:t xml:space="preserve">The right of the participant to refuse to participate without giving reasons will be respected.  After the participant has entered the </w:t>
      </w:r>
      <w:r w:rsidR="0097400A" w:rsidRPr="007B3B90">
        <w:rPr>
          <w:color w:val="000000"/>
        </w:rPr>
        <w:t>study,</w:t>
      </w:r>
      <w:r w:rsidRPr="007B3B90">
        <w:rPr>
          <w:color w:val="000000"/>
        </w:rPr>
        <w:t xml:space="preserve"> the clinician remains free to give alternative treatment to that specified in the protocol at any stage if he/she feels it is in the participant’s best interest, but the reasons for doing so should be recorded.  In these </w:t>
      </w:r>
      <w:r w:rsidR="0097400A" w:rsidRPr="007B3B90">
        <w:rPr>
          <w:color w:val="000000"/>
        </w:rPr>
        <w:t>cases,</w:t>
      </w:r>
      <w:r w:rsidRPr="007B3B90">
        <w:rPr>
          <w:color w:val="000000"/>
        </w:rPr>
        <w:t xml:space="preserve"> the participants remain within the study for the purposes of follow-up and data analysis.  All participants are free to withdraw at any time from the protocol treatment without giving reasons and without prejudicing further treatment.</w:t>
      </w:r>
    </w:p>
    <w:p w14:paraId="09EDA5FC" w14:textId="77777777" w:rsidR="00C20B93" w:rsidRPr="00B73CD3" w:rsidRDefault="00C20B93" w:rsidP="00D742AB">
      <w:pPr>
        <w:pStyle w:val="Indent2"/>
        <w:spacing w:after="0"/>
        <w:ind w:left="0" w:right="301"/>
        <w:jc w:val="both"/>
        <w:rPr>
          <w:rFonts w:cs="Arial"/>
          <w:sz w:val="24"/>
          <w:szCs w:val="24"/>
          <w:lang w:val="en-GB"/>
        </w:rPr>
      </w:pPr>
    </w:p>
    <w:p w14:paraId="20392709" w14:textId="77777777" w:rsidR="00663512" w:rsidRPr="007B3B90" w:rsidRDefault="00663512" w:rsidP="00663512"/>
    <w:p w14:paraId="4B9B5365" w14:textId="1D09AD9E" w:rsidR="00663512" w:rsidRPr="007B3B90" w:rsidRDefault="00D057F1" w:rsidP="00880434">
      <w:pPr>
        <w:pStyle w:val="QAHeading2"/>
        <w:numPr>
          <w:ilvl w:val="1"/>
          <w:numId w:val="2"/>
        </w:numPr>
        <w:rPr>
          <w:sz w:val="24"/>
          <w:szCs w:val="24"/>
        </w:rPr>
      </w:pPr>
      <w:bookmarkStart w:id="51" w:name="_Toc33098122"/>
      <w:bookmarkStart w:id="52" w:name="_Toc33089446"/>
      <w:r w:rsidRPr="007B3B90">
        <w:rPr>
          <w:sz w:val="24"/>
          <w:szCs w:val="24"/>
        </w:rPr>
        <w:t>CONFIDENTIALITY</w:t>
      </w:r>
      <w:bookmarkEnd w:id="51"/>
      <w:r w:rsidRPr="007B3B90">
        <w:rPr>
          <w:sz w:val="24"/>
          <w:szCs w:val="24"/>
        </w:rPr>
        <w:t xml:space="preserve"> </w:t>
      </w:r>
      <w:bookmarkEnd w:id="52"/>
    </w:p>
    <w:p w14:paraId="175641AB" w14:textId="77777777" w:rsidR="0082031C" w:rsidRPr="007B3B90" w:rsidRDefault="0082031C" w:rsidP="0082031C">
      <w:pPr>
        <w:pStyle w:val="QAHeading2"/>
        <w:ind w:left="1440"/>
        <w:rPr>
          <w:sz w:val="24"/>
          <w:szCs w:val="24"/>
        </w:rPr>
      </w:pPr>
    </w:p>
    <w:p w14:paraId="1346E3DC" w14:textId="4EB3AFF7" w:rsidR="00B13212" w:rsidRDefault="00B13212" w:rsidP="00E874C5">
      <w:pPr>
        <w:pStyle w:val="Indent2"/>
        <w:spacing w:after="0"/>
        <w:ind w:left="0"/>
        <w:jc w:val="both"/>
        <w:rPr>
          <w:rFonts w:cs="Arial"/>
          <w:sz w:val="24"/>
          <w:szCs w:val="24"/>
          <w:lang w:val="en-GB"/>
        </w:rPr>
      </w:pPr>
      <w:r w:rsidRPr="00B73CD3">
        <w:rPr>
          <w:rFonts w:cs="Arial"/>
          <w:sz w:val="24"/>
          <w:szCs w:val="24"/>
          <w:lang w:val="en-GB"/>
        </w:rPr>
        <w:t>All Subject records will be kept confidential to the extent provided by applicable laws and regulations. The study monitors and other authorized representatives of the Sponsor may inspect all documents and records required to be maintained by the Investigator, including but not limited to medical records. Such records may also be reviewed by the Site’s Ethics Committee. The Investigator will inform the Subjects that their records will be reviewed.</w:t>
      </w:r>
    </w:p>
    <w:p w14:paraId="5E7273CA" w14:textId="67D0FD26" w:rsidR="00202188" w:rsidRDefault="00202188" w:rsidP="00B13212">
      <w:pPr>
        <w:pStyle w:val="Indent2"/>
        <w:spacing w:after="0"/>
        <w:ind w:left="0" w:right="301"/>
        <w:jc w:val="both"/>
        <w:rPr>
          <w:rFonts w:cs="Arial"/>
          <w:sz w:val="24"/>
          <w:szCs w:val="24"/>
          <w:lang w:val="en-GB"/>
        </w:rPr>
      </w:pPr>
    </w:p>
    <w:p w14:paraId="4482F72C" w14:textId="77777777" w:rsidR="00202188" w:rsidRPr="00F2714B" w:rsidRDefault="00202188" w:rsidP="00202188">
      <w:pPr>
        <w:jc w:val="both"/>
        <w:rPr>
          <w:color w:val="000000"/>
        </w:rPr>
      </w:pPr>
      <w:r w:rsidRPr="00F2714B">
        <w:rPr>
          <w:color w:val="000000"/>
        </w:rPr>
        <w:t>The Chief Investigator will preserve the confidentiality of participants taking part in the study and is registered under the Data Protection Act.</w:t>
      </w:r>
    </w:p>
    <w:p w14:paraId="6F5120C2" w14:textId="77777777" w:rsidR="00202188" w:rsidRPr="00F2714B" w:rsidRDefault="00202188" w:rsidP="00202188">
      <w:pPr>
        <w:jc w:val="both"/>
        <w:rPr>
          <w:color w:val="000000"/>
        </w:rPr>
      </w:pPr>
    </w:p>
    <w:p w14:paraId="5C9C2247" w14:textId="5146212F" w:rsidR="009145A7" w:rsidRPr="009145A7" w:rsidRDefault="009145A7" w:rsidP="009145A7">
      <w:pPr>
        <w:autoSpaceDE w:val="0"/>
        <w:autoSpaceDN w:val="0"/>
        <w:adjustRightInd w:val="0"/>
        <w:jc w:val="both"/>
        <w:rPr>
          <w:rFonts w:cs="Arial"/>
        </w:rPr>
      </w:pPr>
      <w:r w:rsidRPr="009145A7">
        <w:rPr>
          <w:rFonts w:cs="Arial"/>
        </w:rPr>
        <w:t>Each participant will be pseudonymised by being given a unique study ID. Data that is non-identifiable will be</w:t>
      </w:r>
      <w:r>
        <w:rPr>
          <w:rFonts w:cs="Arial"/>
        </w:rPr>
        <w:t xml:space="preserve"> </w:t>
      </w:r>
      <w:r w:rsidRPr="009145A7">
        <w:rPr>
          <w:rFonts w:cs="Arial"/>
        </w:rPr>
        <w:t>transferred to the study team for analysis. Password protected NHS and Imperial College London computers will be</w:t>
      </w:r>
      <w:r>
        <w:rPr>
          <w:rFonts w:cs="Arial"/>
        </w:rPr>
        <w:t xml:space="preserve"> </w:t>
      </w:r>
      <w:r w:rsidRPr="009145A7">
        <w:rPr>
          <w:rFonts w:cs="Arial"/>
        </w:rPr>
        <w:t xml:space="preserve">used to temporarily store, collate and analyse pseudonymised data. </w:t>
      </w:r>
      <w:proofErr w:type="spellStart"/>
      <w:r w:rsidRPr="009145A7">
        <w:rPr>
          <w:rFonts w:cs="Arial"/>
        </w:rPr>
        <w:t>RedCap</w:t>
      </w:r>
      <w:proofErr w:type="spellEnd"/>
      <w:r w:rsidRPr="009145A7">
        <w:rPr>
          <w:rFonts w:cs="Arial"/>
        </w:rPr>
        <w:t xml:space="preserve"> (a secure web application) will be used</w:t>
      </w:r>
      <w:r>
        <w:rPr>
          <w:rFonts w:cs="Arial"/>
        </w:rPr>
        <w:t xml:space="preserve"> </w:t>
      </w:r>
      <w:r w:rsidRPr="009145A7">
        <w:rPr>
          <w:rFonts w:cs="Arial"/>
        </w:rPr>
        <w:t>to build and manage the database.</w:t>
      </w:r>
    </w:p>
    <w:p w14:paraId="60CCED38" w14:textId="77777777" w:rsidR="00202188" w:rsidRPr="009145A7" w:rsidRDefault="00202188" w:rsidP="009145A7">
      <w:pPr>
        <w:jc w:val="both"/>
        <w:rPr>
          <w:rFonts w:cs="Arial"/>
        </w:rPr>
      </w:pPr>
    </w:p>
    <w:p w14:paraId="30B562F3" w14:textId="41CBCAF4" w:rsidR="00202188" w:rsidRPr="009145A7" w:rsidRDefault="009145A7" w:rsidP="009145A7">
      <w:pPr>
        <w:jc w:val="both"/>
        <w:rPr>
          <w:rFonts w:cs="Arial"/>
        </w:rPr>
      </w:pPr>
      <w:r w:rsidRPr="009145A7">
        <w:rPr>
          <w:rFonts w:cs="Arial"/>
        </w:rPr>
        <w:t>Non-identifiable da</w:t>
      </w:r>
      <w:r w:rsidR="00202188" w:rsidRPr="009145A7">
        <w:rPr>
          <w:rFonts w:cs="Arial"/>
        </w:rPr>
        <w:t xml:space="preserve">ta will be transferred to </w:t>
      </w:r>
      <w:r w:rsidRPr="009145A7">
        <w:rPr>
          <w:rFonts w:cs="Arial"/>
        </w:rPr>
        <w:t>Imperial College London for analysis.</w:t>
      </w:r>
    </w:p>
    <w:p w14:paraId="578C82CE" w14:textId="77777777" w:rsidR="00202188" w:rsidRPr="00B73CD3" w:rsidRDefault="00202188" w:rsidP="00B13212">
      <w:pPr>
        <w:pStyle w:val="Indent2"/>
        <w:spacing w:after="0"/>
        <w:ind w:left="0" w:right="301"/>
        <w:jc w:val="both"/>
        <w:rPr>
          <w:rFonts w:cs="Arial"/>
          <w:sz w:val="24"/>
          <w:szCs w:val="24"/>
          <w:lang w:val="en-GB"/>
        </w:rPr>
      </w:pPr>
    </w:p>
    <w:p w14:paraId="76BD9506" w14:textId="77777777" w:rsidR="00663512" w:rsidRPr="007B3B90" w:rsidRDefault="00663512" w:rsidP="00663512"/>
    <w:p w14:paraId="620B0F8C" w14:textId="6D7FE583" w:rsidR="00663512" w:rsidRPr="007B3B90" w:rsidRDefault="00D057F1" w:rsidP="00880434">
      <w:pPr>
        <w:pStyle w:val="QAHeading2"/>
        <w:numPr>
          <w:ilvl w:val="1"/>
          <w:numId w:val="2"/>
        </w:numPr>
        <w:rPr>
          <w:sz w:val="24"/>
          <w:szCs w:val="24"/>
        </w:rPr>
      </w:pPr>
      <w:bookmarkStart w:id="53" w:name="_Toc33089447"/>
      <w:bookmarkStart w:id="54" w:name="_Toc33098123"/>
      <w:r w:rsidRPr="007B3B90">
        <w:rPr>
          <w:sz w:val="24"/>
          <w:szCs w:val="24"/>
        </w:rPr>
        <w:t>INDEMNITY</w:t>
      </w:r>
      <w:bookmarkEnd w:id="53"/>
      <w:bookmarkEnd w:id="54"/>
    </w:p>
    <w:p w14:paraId="5E94B9EA" w14:textId="34947E58" w:rsidR="0082031C" w:rsidRPr="007B3B90" w:rsidRDefault="0082031C" w:rsidP="0082031C">
      <w:pPr>
        <w:pStyle w:val="QAHeading2"/>
        <w:ind w:left="1440"/>
        <w:rPr>
          <w:sz w:val="24"/>
          <w:szCs w:val="24"/>
        </w:rPr>
      </w:pPr>
    </w:p>
    <w:p w14:paraId="5D605E2D" w14:textId="253D7576" w:rsidR="00663512" w:rsidRPr="007B3B90" w:rsidRDefault="00663512" w:rsidP="00211B13">
      <w:pPr>
        <w:ind w:right="142"/>
        <w:jc w:val="both"/>
      </w:pPr>
      <w:r w:rsidRPr="007B3B90">
        <w:t>Imperial College London holds negligent harm and non-negligent harm insurance policies which apply to this study</w:t>
      </w:r>
    </w:p>
    <w:p w14:paraId="5509C8E7" w14:textId="77777777" w:rsidR="00663512" w:rsidRPr="007B3B90" w:rsidRDefault="00663512" w:rsidP="00663512"/>
    <w:p w14:paraId="736D169D" w14:textId="4178294B" w:rsidR="00663512" w:rsidRPr="007B3B90" w:rsidRDefault="00D057F1" w:rsidP="00880434">
      <w:pPr>
        <w:pStyle w:val="QAHeading2"/>
        <w:numPr>
          <w:ilvl w:val="1"/>
          <w:numId w:val="2"/>
        </w:numPr>
        <w:rPr>
          <w:sz w:val="24"/>
          <w:szCs w:val="24"/>
        </w:rPr>
      </w:pPr>
      <w:bookmarkStart w:id="55" w:name="_Toc33098124"/>
      <w:bookmarkStart w:id="56" w:name="_Toc33089448"/>
      <w:r w:rsidRPr="007B3B90">
        <w:rPr>
          <w:sz w:val="24"/>
          <w:szCs w:val="24"/>
        </w:rPr>
        <w:t>SPONSOR</w:t>
      </w:r>
      <w:bookmarkEnd w:id="55"/>
      <w:r w:rsidRPr="007B3B90">
        <w:rPr>
          <w:sz w:val="24"/>
          <w:szCs w:val="24"/>
        </w:rPr>
        <w:t xml:space="preserve"> </w:t>
      </w:r>
      <w:bookmarkEnd w:id="56"/>
    </w:p>
    <w:p w14:paraId="39D4F7E4" w14:textId="77777777" w:rsidR="0082031C" w:rsidRPr="007B3B90" w:rsidRDefault="0082031C" w:rsidP="0082031C">
      <w:pPr>
        <w:pStyle w:val="QAHeading2"/>
        <w:ind w:left="1440"/>
        <w:rPr>
          <w:sz w:val="24"/>
          <w:szCs w:val="24"/>
        </w:rPr>
      </w:pPr>
    </w:p>
    <w:p w14:paraId="3B0976ED" w14:textId="4C5F678C" w:rsidR="00663512" w:rsidRPr="007B3B90" w:rsidRDefault="00663512" w:rsidP="00211B13">
      <w:pPr>
        <w:ind w:right="142"/>
        <w:jc w:val="both"/>
        <w:rPr>
          <w:bCs/>
          <w:i/>
        </w:rPr>
      </w:pPr>
      <w:r w:rsidRPr="007B3B90">
        <w:rPr>
          <w:rFonts w:ascii="DPLHPK+Arial" w:hAnsi="DPLHPK+Arial" w:cs="DPLHPK+Arial"/>
          <w:color w:val="000000"/>
        </w:rPr>
        <w:t xml:space="preserve">Imperial College London </w:t>
      </w:r>
      <w:r w:rsidRPr="007B3B90">
        <w:rPr>
          <w:bCs/>
          <w:iCs/>
        </w:rPr>
        <w:t>will act as the main Sponsor for this study.  Delegated responsibilities will be assigned to the NHS trusts taking part in this study.</w:t>
      </w:r>
      <w:r w:rsidRPr="007B3B90">
        <w:rPr>
          <w:bCs/>
          <w:i/>
        </w:rPr>
        <w:t xml:space="preserve">  </w:t>
      </w:r>
    </w:p>
    <w:p w14:paraId="75243F88" w14:textId="77777777" w:rsidR="00663512" w:rsidRPr="007B3B90" w:rsidRDefault="00663512" w:rsidP="00663512">
      <w:pPr>
        <w:jc w:val="both"/>
        <w:rPr>
          <w:bCs/>
          <w:i/>
        </w:rPr>
      </w:pPr>
    </w:p>
    <w:p w14:paraId="0AA631A8" w14:textId="4F6E89E5" w:rsidR="00663512" w:rsidRPr="007B3B90" w:rsidRDefault="00D057F1" w:rsidP="00880434">
      <w:pPr>
        <w:pStyle w:val="QAHeading2"/>
        <w:numPr>
          <w:ilvl w:val="1"/>
          <w:numId w:val="2"/>
        </w:numPr>
        <w:rPr>
          <w:sz w:val="24"/>
          <w:szCs w:val="24"/>
        </w:rPr>
      </w:pPr>
      <w:bookmarkStart w:id="57" w:name="_Toc33098125"/>
      <w:bookmarkStart w:id="58" w:name="_Toc33089449"/>
      <w:r w:rsidRPr="007B3B90">
        <w:rPr>
          <w:sz w:val="24"/>
          <w:szCs w:val="24"/>
        </w:rPr>
        <w:t>FUNDING</w:t>
      </w:r>
      <w:bookmarkEnd w:id="57"/>
      <w:r w:rsidRPr="007B3B90">
        <w:rPr>
          <w:sz w:val="24"/>
          <w:szCs w:val="24"/>
        </w:rPr>
        <w:t xml:space="preserve"> </w:t>
      </w:r>
      <w:bookmarkEnd w:id="58"/>
    </w:p>
    <w:p w14:paraId="5EACEBFC" w14:textId="77777777" w:rsidR="0082031C" w:rsidRPr="007B3B90" w:rsidRDefault="0082031C" w:rsidP="0082031C">
      <w:pPr>
        <w:pStyle w:val="QAHeading2"/>
        <w:ind w:left="1440"/>
        <w:rPr>
          <w:sz w:val="24"/>
          <w:szCs w:val="24"/>
        </w:rPr>
      </w:pPr>
    </w:p>
    <w:p w14:paraId="149E6725" w14:textId="77777777" w:rsidR="00CA3919" w:rsidRDefault="00B13212" w:rsidP="0087049B">
      <w:pPr>
        <w:pStyle w:val="Normal1"/>
        <w:jc w:val="both"/>
        <w:rPr>
          <w:szCs w:val="24"/>
          <w:lang w:val="en-GB"/>
        </w:rPr>
      </w:pPr>
      <w:r w:rsidRPr="00995425">
        <w:rPr>
          <w:rFonts w:ascii="DPLHPK+Arial" w:hAnsi="DPLHPK+Arial" w:cs="DPLHPK+Arial"/>
          <w:color w:val="000000"/>
          <w:szCs w:val="24"/>
          <w:lang w:val="en-GB"/>
        </w:rPr>
        <w:t>W. L. Gore &amp; Associates (UK) Ltd and Medtronic Limited</w:t>
      </w:r>
      <w:r w:rsidR="00663512" w:rsidRPr="00995425">
        <w:rPr>
          <w:szCs w:val="24"/>
          <w:lang w:val="en-GB"/>
        </w:rPr>
        <w:t xml:space="preserve"> are funding this study.</w:t>
      </w:r>
      <w:r w:rsidR="00663512" w:rsidRPr="00B73CD3">
        <w:rPr>
          <w:szCs w:val="24"/>
          <w:lang w:val="en-GB"/>
        </w:rPr>
        <w:t xml:space="preserve"> </w:t>
      </w:r>
    </w:p>
    <w:p w14:paraId="243FED96" w14:textId="77777777" w:rsidR="00CA3919" w:rsidRDefault="00CA3919" w:rsidP="0087049B">
      <w:pPr>
        <w:pStyle w:val="Normal1"/>
        <w:jc w:val="both"/>
        <w:rPr>
          <w:szCs w:val="24"/>
          <w:lang w:val="en-GB"/>
        </w:rPr>
      </w:pPr>
    </w:p>
    <w:p w14:paraId="7B120862" w14:textId="511E3593" w:rsidR="00CA3919" w:rsidRPr="00CA3919" w:rsidRDefault="00CA3919" w:rsidP="0087049B">
      <w:pPr>
        <w:jc w:val="both"/>
        <w:rPr>
          <w:rFonts w:ascii="DPLHPK+Arial" w:hAnsi="DPLHPK+Arial" w:cs="DPLHPK+Arial"/>
          <w:color w:val="000000"/>
        </w:rPr>
      </w:pPr>
      <w:r w:rsidRPr="00CA3919">
        <w:rPr>
          <w:rFonts w:ascii="DPLHPK+Arial" w:hAnsi="DPLHPK+Arial" w:cs="DPLHPK+Arial"/>
          <w:color w:val="000000"/>
        </w:rPr>
        <w:t xml:space="preserve">Participants </w:t>
      </w:r>
      <w:r w:rsidR="0087049B">
        <w:rPr>
          <w:rFonts w:ascii="DPLHPK+Arial" w:hAnsi="DPLHPK+Arial" w:cs="DPLHPK+Arial"/>
          <w:color w:val="000000"/>
        </w:rPr>
        <w:t xml:space="preserve">and individual researchers </w:t>
      </w:r>
      <w:r w:rsidRPr="00CA3919">
        <w:rPr>
          <w:rFonts w:ascii="DPLHPK+Arial" w:hAnsi="DPLHPK+Arial" w:cs="DPLHPK+Arial"/>
          <w:color w:val="000000"/>
        </w:rPr>
        <w:t>will not receive any payments, reimbursement of expenses or any other benefits or incentives, nor receive any personal payment over and above normal salary for taking part in this research.</w:t>
      </w:r>
    </w:p>
    <w:p w14:paraId="24CBA737" w14:textId="1BE7BCBA" w:rsidR="00663512" w:rsidRPr="00B73CD3" w:rsidRDefault="00663512" w:rsidP="00663512">
      <w:pPr>
        <w:pStyle w:val="Normal1"/>
        <w:rPr>
          <w:szCs w:val="24"/>
          <w:lang w:val="en-GB"/>
        </w:rPr>
      </w:pPr>
      <w:r w:rsidRPr="00B73CD3">
        <w:rPr>
          <w:szCs w:val="24"/>
          <w:lang w:val="en-GB"/>
        </w:rPr>
        <w:t xml:space="preserve"> </w:t>
      </w:r>
    </w:p>
    <w:p w14:paraId="33DAB0C3" w14:textId="77777777" w:rsidR="00663512" w:rsidRPr="007B3B90" w:rsidRDefault="00663512" w:rsidP="00663512">
      <w:pPr>
        <w:rPr>
          <w:bCs/>
          <w:i/>
        </w:rPr>
      </w:pPr>
    </w:p>
    <w:p w14:paraId="67BC0320" w14:textId="0DE9DFAE" w:rsidR="00663512" w:rsidRPr="007B3B90" w:rsidRDefault="00D057F1" w:rsidP="00880434">
      <w:pPr>
        <w:pStyle w:val="QAHeading2"/>
        <w:numPr>
          <w:ilvl w:val="1"/>
          <w:numId w:val="2"/>
        </w:numPr>
        <w:rPr>
          <w:sz w:val="24"/>
          <w:szCs w:val="24"/>
        </w:rPr>
      </w:pPr>
      <w:bookmarkStart w:id="59" w:name="_Toc33098126"/>
      <w:bookmarkStart w:id="60" w:name="_Toc33089450"/>
      <w:r w:rsidRPr="007B3B90">
        <w:rPr>
          <w:sz w:val="24"/>
          <w:szCs w:val="24"/>
        </w:rPr>
        <w:t>AUDITS</w:t>
      </w:r>
      <w:bookmarkEnd w:id="59"/>
      <w:r w:rsidRPr="007B3B90">
        <w:rPr>
          <w:sz w:val="24"/>
          <w:szCs w:val="24"/>
        </w:rPr>
        <w:t xml:space="preserve"> </w:t>
      </w:r>
      <w:bookmarkEnd w:id="60"/>
      <w:r w:rsidR="00663512" w:rsidRPr="007B3B90">
        <w:rPr>
          <w:sz w:val="24"/>
          <w:szCs w:val="24"/>
        </w:rPr>
        <w:t xml:space="preserve"> </w:t>
      </w:r>
    </w:p>
    <w:p w14:paraId="6036DAEB" w14:textId="77777777" w:rsidR="0082031C" w:rsidRPr="007B3B90" w:rsidRDefault="0082031C" w:rsidP="0082031C">
      <w:pPr>
        <w:pStyle w:val="QAHeading2"/>
        <w:ind w:left="1440"/>
        <w:rPr>
          <w:sz w:val="24"/>
          <w:szCs w:val="24"/>
        </w:rPr>
      </w:pPr>
    </w:p>
    <w:p w14:paraId="32D0DE1C" w14:textId="58A39AC7" w:rsidR="00663512" w:rsidRPr="007B3B90" w:rsidRDefault="00663512" w:rsidP="00CA3919">
      <w:pPr>
        <w:autoSpaceDE w:val="0"/>
        <w:autoSpaceDN w:val="0"/>
        <w:adjustRightInd w:val="0"/>
        <w:ind w:right="142"/>
        <w:jc w:val="both"/>
        <w:rPr>
          <w:color w:val="000000"/>
        </w:rPr>
      </w:pPr>
      <w:r w:rsidRPr="007B3B90">
        <w:rPr>
          <w:color w:val="000000"/>
        </w:rPr>
        <w:t>The study may be subject to audit by Imperial College London</w:t>
      </w:r>
      <w:r w:rsidR="00B5057B" w:rsidRPr="007B3B90">
        <w:rPr>
          <w:color w:val="000000"/>
        </w:rPr>
        <w:t xml:space="preserve"> </w:t>
      </w:r>
      <w:r w:rsidRPr="007B3B90">
        <w:rPr>
          <w:color w:val="000000"/>
        </w:rPr>
        <w:t xml:space="preserve">under their remit as </w:t>
      </w:r>
      <w:r w:rsidR="00A20A8B" w:rsidRPr="007B3B90">
        <w:rPr>
          <w:color w:val="000000"/>
        </w:rPr>
        <w:t>S</w:t>
      </w:r>
      <w:r w:rsidRPr="007B3B90">
        <w:rPr>
          <w:color w:val="000000"/>
        </w:rPr>
        <w:t xml:space="preserve">ponsor and other regulatory bodies to ensure adherence to GCP and the </w:t>
      </w:r>
      <w:r w:rsidRPr="007B3B90">
        <w:rPr>
          <w:bCs/>
        </w:rPr>
        <w:t>UK Policy Frame Work for Health and Social Care Research</w:t>
      </w:r>
      <w:r w:rsidRPr="007B3B90">
        <w:rPr>
          <w:color w:val="000000"/>
        </w:rPr>
        <w:t xml:space="preserve">. </w:t>
      </w:r>
    </w:p>
    <w:p w14:paraId="11E598D7" w14:textId="77777777" w:rsidR="00663512" w:rsidRPr="007B3B90" w:rsidRDefault="00663512" w:rsidP="00663512"/>
    <w:p w14:paraId="30251A37" w14:textId="77777777" w:rsidR="00663512" w:rsidRPr="007B3B90" w:rsidRDefault="00663512" w:rsidP="00663512"/>
    <w:p w14:paraId="1A6B8CF8" w14:textId="77777777" w:rsidR="00663512" w:rsidRPr="007B3B90" w:rsidRDefault="00BE7282" w:rsidP="00D057F1">
      <w:pPr>
        <w:pStyle w:val="Heading1"/>
        <w:rPr>
          <w:sz w:val="24"/>
        </w:rPr>
      </w:pPr>
      <w:bookmarkStart w:id="61" w:name="_Toc33098127"/>
      <w:bookmarkStart w:id="62" w:name="_Toc33089451"/>
      <w:r w:rsidRPr="007B3B90">
        <w:rPr>
          <w:sz w:val="24"/>
        </w:rPr>
        <w:t>STUDY MANAGEMENT</w:t>
      </w:r>
      <w:bookmarkEnd w:id="61"/>
      <w:r w:rsidRPr="007B3B90">
        <w:rPr>
          <w:sz w:val="24"/>
        </w:rPr>
        <w:t xml:space="preserve"> </w:t>
      </w:r>
      <w:bookmarkEnd w:id="62"/>
    </w:p>
    <w:p w14:paraId="2B0BC988" w14:textId="77777777" w:rsidR="00663512" w:rsidRPr="007B3B90" w:rsidRDefault="00663512" w:rsidP="00663512">
      <w:pPr>
        <w:jc w:val="both"/>
        <w:rPr>
          <w:color w:val="000000"/>
        </w:rPr>
      </w:pPr>
    </w:p>
    <w:p w14:paraId="7E3F2C29" w14:textId="4DAD05C5" w:rsidR="00663512" w:rsidRPr="007B3B90" w:rsidRDefault="00663512" w:rsidP="00663512">
      <w:pPr>
        <w:jc w:val="both"/>
        <w:rPr>
          <w:color w:val="000000"/>
        </w:rPr>
      </w:pPr>
      <w:r w:rsidRPr="007B3B90">
        <w:rPr>
          <w:color w:val="000000"/>
        </w:rPr>
        <w:t>The day-to-day management of the study will be co-ordinated through</w:t>
      </w:r>
      <w:r w:rsidR="00211B13" w:rsidRPr="007B3B90">
        <w:rPr>
          <w:color w:val="000000"/>
        </w:rPr>
        <w:t xml:space="preserve"> Pinar </w:t>
      </w:r>
      <w:proofErr w:type="spellStart"/>
      <w:r w:rsidR="00211B13" w:rsidRPr="007B3B90">
        <w:rPr>
          <w:color w:val="000000"/>
        </w:rPr>
        <w:t>Ulug</w:t>
      </w:r>
      <w:proofErr w:type="spellEnd"/>
      <w:r w:rsidR="005217D2" w:rsidRPr="007B3B90">
        <w:rPr>
          <w:color w:val="000000"/>
        </w:rPr>
        <w:t xml:space="preserve"> (</w:t>
      </w:r>
      <w:r w:rsidR="00A20A8B" w:rsidRPr="007B3B90">
        <w:rPr>
          <w:color w:val="000000"/>
        </w:rPr>
        <w:t>project</w:t>
      </w:r>
      <w:r w:rsidR="005217D2" w:rsidRPr="007B3B90">
        <w:rPr>
          <w:color w:val="000000"/>
        </w:rPr>
        <w:t xml:space="preserve"> manager) and Maria Nicola (clinical research fellow)</w:t>
      </w:r>
      <w:r w:rsidR="00211B13" w:rsidRPr="007B3B90">
        <w:rPr>
          <w:color w:val="000000"/>
        </w:rPr>
        <w:t>.</w:t>
      </w:r>
    </w:p>
    <w:p w14:paraId="588E2537" w14:textId="77777777" w:rsidR="00663512" w:rsidRPr="007B3B90" w:rsidRDefault="00663512" w:rsidP="00663512"/>
    <w:p w14:paraId="6036A6CA" w14:textId="77777777" w:rsidR="00663512" w:rsidRPr="007B3B90" w:rsidRDefault="00663512" w:rsidP="00663512"/>
    <w:p w14:paraId="2BA97E3B" w14:textId="25925C74" w:rsidR="00663512" w:rsidRPr="007B3B90" w:rsidRDefault="0095568B" w:rsidP="00D057F1">
      <w:pPr>
        <w:pStyle w:val="Heading1"/>
        <w:rPr>
          <w:sz w:val="24"/>
        </w:rPr>
      </w:pPr>
      <w:bookmarkStart w:id="63" w:name="_Toc33098128"/>
      <w:bookmarkStart w:id="64" w:name="_Toc33089452"/>
      <w:r w:rsidRPr="007B3B90">
        <w:rPr>
          <w:sz w:val="24"/>
        </w:rPr>
        <w:t xml:space="preserve"> </w:t>
      </w:r>
      <w:r w:rsidR="00BE7282" w:rsidRPr="007B3B90">
        <w:rPr>
          <w:sz w:val="24"/>
        </w:rPr>
        <w:t>PUBLICATION POLICY</w:t>
      </w:r>
      <w:bookmarkEnd w:id="63"/>
      <w:r w:rsidR="00BE7282" w:rsidRPr="007B3B90">
        <w:rPr>
          <w:sz w:val="24"/>
        </w:rPr>
        <w:t xml:space="preserve"> </w:t>
      </w:r>
      <w:bookmarkEnd w:id="64"/>
    </w:p>
    <w:p w14:paraId="205C7806" w14:textId="77777777" w:rsidR="00663512" w:rsidRPr="007B3B90" w:rsidRDefault="00663512" w:rsidP="00663512">
      <w:pPr>
        <w:jc w:val="both"/>
        <w:rPr>
          <w:color w:val="000000"/>
        </w:rPr>
      </w:pPr>
    </w:p>
    <w:p w14:paraId="73CD0E6B" w14:textId="0430C18E" w:rsidR="0095568B" w:rsidRPr="007B3B90" w:rsidRDefault="0095568B" w:rsidP="003F0124">
      <w:pPr>
        <w:ind w:right="142"/>
        <w:jc w:val="both"/>
        <w:rPr>
          <w:rFonts w:cs="Arial"/>
          <w:bCs/>
        </w:rPr>
      </w:pPr>
      <w:r w:rsidRPr="007B3B90">
        <w:rPr>
          <w:rFonts w:cs="Arial"/>
          <w:bCs/>
        </w:rPr>
        <w:t xml:space="preserve">On completion, we will produce an executive summary of our findings to be distributed to relevant policymakers, organized in conjunction with the Centre for Health Policy at Imperial College London. </w:t>
      </w:r>
    </w:p>
    <w:p w14:paraId="1CAF0766" w14:textId="77777777" w:rsidR="0095568B" w:rsidRPr="007B3B90" w:rsidRDefault="0095568B" w:rsidP="003F0124">
      <w:pPr>
        <w:ind w:left="567" w:right="142"/>
        <w:jc w:val="both"/>
        <w:rPr>
          <w:rFonts w:cs="Arial"/>
          <w:bCs/>
        </w:rPr>
      </w:pPr>
    </w:p>
    <w:p w14:paraId="01BB9685" w14:textId="39BA51FC" w:rsidR="0095568B" w:rsidRPr="007B3B90" w:rsidRDefault="00BF0056" w:rsidP="003F0124">
      <w:pPr>
        <w:ind w:right="142"/>
        <w:jc w:val="both"/>
        <w:rPr>
          <w:rFonts w:cs="Arial"/>
          <w:bCs/>
          <w:color w:val="000000" w:themeColor="text1"/>
        </w:rPr>
      </w:pPr>
      <w:r w:rsidRPr="006B56CA">
        <w:rPr>
          <w:rFonts w:cs="Arial"/>
          <w:bCs/>
        </w:rPr>
        <w:t xml:space="preserve">We will present the results from the study and discuss the role of accelerated discharge pathways in minimally invasive vascular surgery. </w:t>
      </w:r>
      <w:r w:rsidR="0095568B" w:rsidRPr="006B56CA">
        <w:rPr>
          <w:rFonts w:cs="Arial"/>
          <w:bCs/>
        </w:rPr>
        <w:t xml:space="preserve">to the National screening committee and the Vascular Society. We will aim to publish the findings of the study in widely disseminated high impact academic journals. We will make our intervention methodology and results available through presentations, workshops, conferences, the website, working papers and journal articles. We will provide an interactive framework on a web-based platform to facilitate the adoption of our model and methodology in other fields. The dissemination strategy for our findings will be aimed at reaching the largest possible stakeholder audiences. We will maintain and develop the study internet site, initially </w:t>
      </w:r>
      <w:r w:rsidR="0095568B" w:rsidRPr="006B56CA">
        <w:rPr>
          <w:rFonts w:cs="Arial"/>
          <w:bCs/>
          <w:color w:val="000000" w:themeColor="text1"/>
        </w:rPr>
        <w:t>used as a public and participant information tool, to disseminate our findings, and to facilitate the adoption of our model and methodology in other fields</w:t>
      </w:r>
      <w:r w:rsidR="00211B13" w:rsidRPr="006B56CA">
        <w:rPr>
          <w:rFonts w:cs="Arial"/>
          <w:bCs/>
          <w:color w:val="000000" w:themeColor="text1"/>
        </w:rPr>
        <w:t>.</w:t>
      </w:r>
    </w:p>
    <w:p w14:paraId="148A2437" w14:textId="77777777" w:rsidR="0095568B" w:rsidRPr="007B3B90" w:rsidRDefault="0095568B" w:rsidP="003F0124">
      <w:pPr>
        <w:ind w:left="567" w:right="142"/>
        <w:jc w:val="both"/>
        <w:rPr>
          <w:rFonts w:cs="Arial"/>
          <w:bCs/>
          <w:color w:val="000000" w:themeColor="text1"/>
        </w:rPr>
      </w:pPr>
    </w:p>
    <w:p w14:paraId="129C18CB" w14:textId="28344D80" w:rsidR="0095568B" w:rsidRPr="0098621A" w:rsidRDefault="0095568B" w:rsidP="003F0124">
      <w:pPr>
        <w:pStyle w:val="Indent2"/>
        <w:spacing w:after="0"/>
        <w:ind w:left="0" w:right="142"/>
        <w:jc w:val="both"/>
        <w:rPr>
          <w:rFonts w:cs="Arial"/>
          <w:color w:val="000000" w:themeColor="text1"/>
          <w:sz w:val="24"/>
          <w:szCs w:val="24"/>
          <w:lang w:val="en-GB"/>
        </w:rPr>
      </w:pPr>
      <w:r w:rsidRPr="0098621A">
        <w:rPr>
          <w:rFonts w:cs="Arial"/>
          <w:color w:val="000000" w:themeColor="text1"/>
          <w:sz w:val="24"/>
          <w:szCs w:val="24"/>
          <w:lang w:val="en-GB"/>
        </w:rPr>
        <w:t xml:space="preserve">It is the intent that the </w:t>
      </w:r>
      <w:proofErr w:type="spellStart"/>
      <w:r w:rsidRPr="0098621A">
        <w:rPr>
          <w:rFonts w:cs="Arial"/>
          <w:color w:val="000000" w:themeColor="text1"/>
          <w:sz w:val="24"/>
          <w:szCs w:val="24"/>
          <w:lang w:val="en-GB"/>
        </w:rPr>
        <w:t>multicenter</w:t>
      </w:r>
      <w:proofErr w:type="spellEnd"/>
      <w:r w:rsidRPr="0098621A">
        <w:rPr>
          <w:rFonts w:cs="Arial"/>
          <w:color w:val="000000" w:themeColor="text1"/>
          <w:sz w:val="24"/>
          <w:szCs w:val="24"/>
          <w:lang w:val="en-GB"/>
        </w:rPr>
        <w:t xml:space="preserve"> results of this study will be submitted for publication (in a peer reviewed journal). A publications committee consisting of representatives for the study investigators will be established to review the </w:t>
      </w:r>
      <w:proofErr w:type="spellStart"/>
      <w:r w:rsidRPr="0098621A">
        <w:rPr>
          <w:rFonts w:cs="Arial"/>
          <w:color w:val="000000" w:themeColor="text1"/>
          <w:sz w:val="24"/>
          <w:szCs w:val="24"/>
          <w:lang w:val="en-GB"/>
        </w:rPr>
        <w:t>multicenter</w:t>
      </w:r>
      <w:proofErr w:type="spellEnd"/>
      <w:r w:rsidRPr="0098621A">
        <w:rPr>
          <w:rFonts w:cs="Arial"/>
          <w:color w:val="000000" w:themeColor="text1"/>
          <w:sz w:val="24"/>
          <w:szCs w:val="24"/>
          <w:lang w:val="en-GB"/>
        </w:rPr>
        <w:t xml:space="preserve"> results and develop publications at the completion of the study. The publication will be approved by the companies funding the trial before publication.</w:t>
      </w:r>
    </w:p>
    <w:p w14:paraId="096FE0D1" w14:textId="77777777" w:rsidR="0095568B" w:rsidRPr="0098621A" w:rsidRDefault="0095568B" w:rsidP="00006B76">
      <w:pPr>
        <w:pStyle w:val="Indent2"/>
        <w:spacing w:after="0"/>
        <w:ind w:left="0" w:right="142"/>
        <w:jc w:val="both"/>
        <w:rPr>
          <w:rFonts w:cs="Arial"/>
          <w:color w:val="000000" w:themeColor="text1"/>
          <w:sz w:val="24"/>
          <w:szCs w:val="24"/>
          <w:lang w:val="en-GB"/>
        </w:rPr>
      </w:pPr>
    </w:p>
    <w:p w14:paraId="241066D4" w14:textId="77777777" w:rsidR="0095568B" w:rsidRPr="007B3B90" w:rsidRDefault="0095568B" w:rsidP="003F0124">
      <w:pPr>
        <w:ind w:right="142"/>
        <w:jc w:val="both"/>
        <w:rPr>
          <w:rFonts w:cs="Arial"/>
          <w:bCs/>
          <w:color w:val="000000" w:themeColor="text1"/>
        </w:rPr>
      </w:pPr>
      <w:r w:rsidRPr="007B3B90">
        <w:rPr>
          <w:rFonts w:cs="Arial"/>
          <w:bCs/>
          <w:color w:val="000000" w:themeColor="text1"/>
        </w:rPr>
        <w:t>For Patients/Public, we will produce a short, easy to understand summary of our research findings that will be available from our website or that can be sent to interested persons, GPs, nurses, and screening providers. The information available to patients who attend for surgery will also be amended as a result of the experience gained in this study</w:t>
      </w:r>
    </w:p>
    <w:p w14:paraId="2C7703BE" w14:textId="77777777" w:rsidR="00663512" w:rsidRPr="007B3B90" w:rsidRDefault="00663512" w:rsidP="003F0124">
      <w:pPr>
        <w:ind w:right="142"/>
        <w:jc w:val="both"/>
      </w:pPr>
    </w:p>
    <w:p w14:paraId="3B3DB085" w14:textId="720BF13B" w:rsidR="00663512" w:rsidRPr="007B3B90" w:rsidRDefault="009B6CD6" w:rsidP="00663512">
      <w:r>
        <w:br w:type="page"/>
      </w:r>
    </w:p>
    <w:p w14:paraId="1DD7428A" w14:textId="08BAE656" w:rsidR="00663512" w:rsidRPr="007B3B90" w:rsidRDefault="00BE7282" w:rsidP="00D057F1">
      <w:pPr>
        <w:pStyle w:val="Heading1"/>
        <w:rPr>
          <w:sz w:val="24"/>
        </w:rPr>
      </w:pPr>
      <w:bookmarkStart w:id="65" w:name="_Toc33098129"/>
      <w:bookmarkStart w:id="66" w:name="_Toc33089453"/>
      <w:r w:rsidRPr="007B3B90">
        <w:rPr>
          <w:sz w:val="24"/>
        </w:rPr>
        <w:lastRenderedPageBreak/>
        <w:t>REFERENCES</w:t>
      </w:r>
      <w:bookmarkEnd w:id="65"/>
      <w:r w:rsidRPr="007B3B90">
        <w:rPr>
          <w:sz w:val="24"/>
        </w:rPr>
        <w:t xml:space="preserve"> </w:t>
      </w:r>
      <w:bookmarkEnd w:id="66"/>
    </w:p>
    <w:p w14:paraId="05231CB4" w14:textId="77777777" w:rsidR="00B13212" w:rsidRPr="007B3B90" w:rsidRDefault="00B13212" w:rsidP="00B13212">
      <w:pPr>
        <w:rPr>
          <w:lang w:eastAsia="en-GB"/>
        </w:rPr>
      </w:pPr>
    </w:p>
    <w:p w14:paraId="4C89ACF4" w14:textId="77777777" w:rsidR="00B13212" w:rsidRPr="007B3B90"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r w:rsidRPr="007B3B90">
        <w:rPr>
          <w:rFonts w:cs="Arial"/>
        </w:rPr>
        <w:t xml:space="preserve">Comparison of endovascular aneurysm repair with open repair in patients with abdominal aortic aneurysm (EVAR trial 1), 30-day operative mortality results: randomised controlled trial. Greenhalgh RM, Brown LC, </w:t>
      </w:r>
      <w:proofErr w:type="spellStart"/>
      <w:r w:rsidRPr="007B3B90">
        <w:rPr>
          <w:rFonts w:cs="Arial"/>
        </w:rPr>
        <w:t>Kwong</w:t>
      </w:r>
      <w:proofErr w:type="spellEnd"/>
      <w:r w:rsidRPr="007B3B90">
        <w:rPr>
          <w:rFonts w:cs="Arial"/>
        </w:rPr>
        <w:t xml:space="preserve"> GP, Powell JT, Thompson SG; EVAR trial participants. Lancet. 2004 Sep 4-10;364(9437):843-8.</w:t>
      </w:r>
    </w:p>
    <w:p w14:paraId="58BCEB93" w14:textId="77777777" w:rsidR="00B13212" w:rsidRPr="007B3B90"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proofErr w:type="spellStart"/>
      <w:r w:rsidRPr="007B3B90">
        <w:rPr>
          <w:rFonts w:cs="Arial"/>
        </w:rPr>
        <w:t>Waton</w:t>
      </w:r>
      <w:proofErr w:type="spellEnd"/>
      <w:r w:rsidRPr="007B3B90">
        <w:rPr>
          <w:rFonts w:cs="Arial"/>
        </w:rPr>
        <w:t xml:space="preserve"> S, Johal A, Heikkila K, Cromwell D, Boyle J, Miller F. National Vascular Registry: 2018 Annual report. London: The Royal College of Surgeons of England, November 2018.</w:t>
      </w:r>
    </w:p>
    <w:p w14:paraId="62A6458F" w14:textId="77777777" w:rsidR="00B13212" w:rsidRPr="007B3B90"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r w:rsidRPr="007B3B90">
        <w:rPr>
          <w:rFonts w:cs="Arial"/>
        </w:rPr>
        <w:t xml:space="preserve">Epstein D, </w:t>
      </w:r>
      <w:proofErr w:type="spellStart"/>
      <w:r w:rsidRPr="007B3B90">
        <w:rPr>
          <w:rFonts w:cs="Arial"/>
        </w:rPr>
        <w:t>Sculpher</w:t>
      </w:r>
      <w:proofErr w:type="spellEnd"/>
      <w:r w:rsidRPr="007B3B90">
        <w:rPr>
          <w:rFonts w:cs="Arial"/>
        </w:rPr>
        <w:t xml:space="preserve"> M, Powell J, Thompson SG, Brown L, Greenhalgh R. Long-term cost-effectiveness analysis of endovascular versus open repair for abdominal aortic aneurysm based on four randomized clinical trials. Br J Surg. 2014 May;101(6):623-31</w:t>
      </w:r>
    </w:p>
    <w:p w14:paraId="1FC77304" w14:textId="77777777" w:rsidR="00B13212" w:rsidRPr="007B3B90"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r w:rsidRPr="007B3B90">
        <w:rPr>
          <w:rFonts w:cs="Arial"/>
        </w:rPr>
        <w:t xml:space="preserve">The UK </w:t>
      </w:r>
      <w:proofErr w:type="spellStart"/>
      <w:r w:rsidRPr="007B3B90">
        <w:rPr>
          <w:rFonts w:cs="Arial"/>
        </w:rPr>
        <w:t>EndoVascular</w:t>
      </w:r>
      <w:proofErr w:type="spellEnd"/>
      <w:r w:rsidRPr="007B3B90">
        <w:rPr>
          <w:rFonts w:cs="Arial"/>
        </w:rPr>
        <w:t xml:space="preserve"> Aneurysm Repair (EVAR) trials: randomised trials of EVAR versus standard therapy. Brown LC, Powell JT, Thompson SG, Epstein DM, </w:t>
      </w:r>
      <w:proofErr w:type="spellStart"/>
      <w:r w:rsidRPr="007B3B90">
        <w:rPr>
          <w:rFonts w:cs="Arial"/>
        </w:rPr>
        <w:t>Sculpher</w:t>
      </w:r>
      <w:proofErr w:type="spellEnd"/>
      <w:r w:rsidRPr="007B3B90">
        <w:rPr>
          <w:rFonts w:cs="Arial"/>
        </w:rPr>
        <w:t xml:space="preserve"> MJ, Greenhalgh RM. Health </w:t>
      </w:r>
      <w:proofErr w:type="spellStart"/>
      <w:r w:rsidRPr="007B3B90">
        <w:rPr>
          <w:rFonts w:cs="Arial"/>
        </w:rPr>
        <w:t>Technol</w:t>
      </w:r>
      <w:proofErr w:type="spellEnd"/>
      <w:r w:rsidRPr="007B3B90">
        <w:rPr>
          <w:rFonts w:cs="Arial"/>
        </w:rPr>
        <w:t xml:space="preserve"> Assess. 2012;16(9):1-218. </w:t>
      </w:r>
      <w:proofErr w:type="spellStart"/>
      <w:r w:rsidRPr="007B3B90">
        <w:rPr>
          <w:rFonts w:cs="Arial"/>
        </w:rPr>
        <w:t>doi</w:t>
      </w:r>
      <w:proofErr w:type="spellEnd"/>
      <w:r w:rsidRPr="007B3B90">
        <w:rPr>
          <w:rFonts w:cs="Arial"/>
        </w:rPr>
        <w:t>: 10.3310/hta16090.</w:t>
      </w:r>
    </w:p>
    <w:p w14:paraId="419421CA" w14:textId="77777777" w:rsidR="00B13212" w:rsidRPr="007B3B90"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r w:rsidRPr="007B3B90">
        <w:rPr>
          <w:rFonts w:cs="Arial"/>
        </w:rPr>
        <w:t xml:space="preserve">Shaw S, </w:t>
      </w:r>
      <w:proofErr w:type="spellStart"/>
      <w:r w:rsidRPr="007B3B90">
        <w:rPr>
          <w:rFonts w:cs="Arial"/>
        </w:rPr>
        <w:t>Preece</w:t>
      </w:r>
      <w:proofErr w:type="spellEnd"/>
      <w:r w:rsidRPr="007B3B90">
        <w:rPr>
          <w:rFonts w:cs="Arial"/>
        </w:rPr>
        <w:t xml:space="preserve"> R, Stenson K, De Bruin J, Loftus I, Holt P, Patterson B. Short Stay EVAR is Safe and Cost Effective. Eur J </w:t>
      </w:r>
      <w:proofErr w:type="spellStart"/>
      <w:r w:rsidRPr="007B3B90">
        <w:rPr>
          <w:rFonts w:cs="Arial"/>
        </w:rPr>
        <w:t>Vasc</w:t>
      </w:r>
      <w:proofErr w:type="spellEnd"/>
      <w:r w:rsidRPr="007B3B90">
        <w:rPr>
          <w:rFonts w:cs="Arial"/>
        </w:rPr>
        <w:t xml:space="preserve"> </w:t>
      </w:r>
      <w:proofErr w:type="spellStart"/>
      <w:r w:rsidRPr="007B3B90">
        <w:rPr>
          <w:rFonts w:cs="Arial"/>
        </w:rPr>
        <w:t>Endovasc</w:t>
      </w:r>
      <w:proofErr w:type="spellEnd"/>
      <w:r w:rsidRPr="007B3B90">
        <w:rPr>
          <w:rFonts w:cs="Arial"/>
        </w:rPr>
        <w:t xml:space="preserve"> </w:t>
      </w:r>
      <w:proofErr w:type="spellStart"/>
      <w:r w:rsidRPr="007B3B90">
        <w:rPr>
          <w:rFonts w:cs="Arial"/>
        </w:rPr>
        <w:t>Surg</w:t>
      </w:r>
      <w:proofErr w:type="spellEnd"/>
      <w:r w:rsidRPr="007B3B90">
        <w:rPr>
          <w:rFonts w:cs="Arial"/>
        </w:rPr>
        <w:t xml:space="preserve"> 2019; 57: 368-73.</w:t>
      </w:r>
    </w:p>
    <w:p w14:paraId="6AE12B35" w14:textId="77777777" w:rsidR="00B13212" w:rsidRPr="0098621A"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r w:rsidRPr="007B3B90">
        <w:rPr>
          <w:rFonts w:eastAsiaTheme="minorEastAsia" w:cs="Arial"/>
        </w:rPr>
        <w:t>N. Al-</w:t>
      </w:r>
      <w:proofErr w:type="spellStart"/>
      <w:r w:rsidRPr="007B3B90">
        <w:rPr>
          <w:rFonts w:eastAsiaTheme="minorEastAsia" w:cs="Arial"/>
        </w:rPr>
        <w:t>Zuhir</w:t>
      </w:r>
      <w:proofErr w:type="spellEnd"/>
      <w:r w:rsidRPr="007B3B90">
        <w:rPr>
          <w:rFonts w:eastAsiaTheme="minorEastAsia" w:cs="Arial"/>
        </w:rPr>
        <w:t xml:space="preserve">, J. Wong, I. </w:t>
      </w:r>
      <w:proofErr w:type="spellStart"/>
      <w:r w:rsidRPr="007B3B90">
        <w:rPr>
          <w:rFonts w:eastAsiaTheme="minorEastAsia" w:cs="Arial"/>
        </w:rPr>
        <w:t>Nammuni</w:t>
      </w:r>
      <w:proofErr w:type="spellEnd"/>
      <w:r w:rsidRPr="007B3B90">
        <w:rPr>
          <w:rFonts w:eastAsiaTheme="minorEastAsia" w:cs="Arial"/>
        </w:rPr>
        <w:t xml:space="preserve">, G. Curran, T. Tang, K. </w:t>
      </w:r>
      <w:proofErr w:type="spellStart"/>
      <w:r w:rsidRPr="007B3B90">
        <w:rPr>
          <w:rFonts w:eastAsiaTheme="minorEastAsia" w:cs="Arial"/>
        </w:rPr>
        <w:t>Varty</w:t>
      </w:r>
      <w:proofErr w:type="spellEnd"/>
      <w:r w:rsidRPr="007B3B90">
        <w:rPr>
          <w:rFonts w:eastAsiaTheme="minorEastAsia" w:cs="Arial"/>
        </w:rPr>
        <w:t xml:space="preserve">. Selection, Thirty Day Outcome and Costs for Short Stay Endovascular Aortic Aneurysm Repair (SEVAR). </w:t>
      </w:r>
      <w:r w:rsidRPr="0098621A">
        <w:rPr>
          <w:rFonts w:cs="Arial"/>
        </w:rPr>
        <w:t xml:space="preserve">Eur J </w:t>
      </w:r>
      <w:proofErr w:type="spellStart"/>
      <w:r w:rsidRPr="0098621A">
        <w:rPr>
          <w:rFonts w:cs="Arial"/>
        </w:rPr>
        <w:t>Vasc</w:t>
      </w:r>
      <w:proofErr w:type="spellEnd"/>
      <w:r w:rsidRPr="0098621A">
        <w:rPr>
          <w:rFonts w:cs="Arial"/>
        </w:rPr>
        <w:t xml:space="preserve"> </w:t>
      </w:r>
      <w:proofErr w:type="spellStart"/>
      <w:r w:rsidRPr="0098621A">
        <w:rPr>
          <w:rFonts w:cs="Arial"/>
        </w:rPr>
        <w:t>Endovasc</w:t>
      </w:r>
      <w:proofErr w:type="spellEnd"/>
      <w:r w:rsidRPr="0098621A">
        <w:rPr>
          <w:rFonts w:cs="Arial"/>
        </w:rPr>
        <w:t xml:space="preserve"> Surg. 2012 Jun;43(6):662-5.</w:t>
      </w:r>
    </w:p>
    <w:p w14:paraId="5B436E83" w14:textId="77777777" w:rsidR="00B13212" w:rsidRPr="0098621A"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proofErr w:type="spellStart"/>
      <w:r w:rsidRPr="007B3B90">
        <w:rPr>
          <w:rFonts w:cs="Arial"/>
        </w:rPr>
        <w:t>Lachat</w:t>
      </w:r>
      <w:proofErr w:type="spellEnd"/>
      <w:r w:rsidRPr="007B3B90">
        <w:rPr>
          <w:rFonts w:cs="Arial"/>
        </w:rPr>
        <w:t xml:space="preserve"> ML, Pecoraro F, Mayer D, </w:t>
      </w:r>
      <w:proofErr w:type="spellStart"/>
      <w:r w:rsidRPr="007B3B90">
        <w:rPr>
          <w:rFonts w:cs="Arial"/>
        </w:rPr>
        <w:t>Guillet</w:t>
      </w:r>
      <w:proofErr w:type="spellEnd"/>
      <w:r w:rsidRPr="007B3B90">
        <w:rPr>
          <w:rFonts w:cs="Arial"/>
        </w:rPr>
        <w:t xml:space="preserve"> C, </w:t>
      </w:r>
      <w:proofErr w:type="spellStart"/>
      <w:r w:rsidRPr="007B3B90">
        <w:rPr>
          <w:rFonts w:cs="Arial"/>
        </w:rPr>
        <w:t>Glenck</w:t>
      </w:r>
      <w:proofErr w:type="spellEnd"/>
      <w:r w:rsidRPr="007B3B90">
        <w:rPr>
          <w:rFonts w:cs="Arial"/>
        </w:rPr>
        <w:t xml:space="preserve"> M, Rancic Z, Schmidt CA, </w:t>
      </w:r>
      <w:proofErr w:type="spellStart"/>
      <w:r w:rsidRPr="007B3B90">
        <w:rPr>
          <w:rFonts w:cs="Arial"/>
        </w:rPr>
        <w:t>Puippe</w:t>
      </w:r>
      <w:proofErr w:type="spellEnd"/>
      <w:r w:rsidRPr="007B3B90">
        <w:rPr>
          <w:rFonts w:cs="Arial"/>
        </w:rPr>
        <w:t xml:space="preserve"> G, </w:t>
      </w:r>
      <w:proofErr w:type="spellStart"/>
      <w:r w:rsidRPr="007B3B90">
        <w:rPr>
          <w:rFonts w:cs="Arial"/>
        </w:rPr>
        <w:t>Veith</w:t>
      </w:r>
      <w:proofErr w:type="spellEnd"/>
      <w:r w:rsidRPr="007B3B90">
        <w:rPr>
          <w:rFonts w:cs="Arial"/>
        </w:rPr>
        <w:t xml:space="preserve"> FJ, </w:t>
      </w:r>
      <w:proofErr w:type="spellStart"/>
      <w:r w:rsidRPr="007B3B90">
        <w:rPr>
          <w:rFonts w:cs="Arial"/>
        </w:rPr>
        <w:t>Bleyn</w:t>
      </w:r>
      <w:proofErr w:type="spellEnd"/>
      <w:r w:rsidRPr="007B3B90">
        <w:rPr>
          <w:rFonts w:cs="Arial"/>
        </w:rPr>
        <w:t xml:space="preserve"> J, </w:t>
      </w:r>
      <w:proofErr w:type="spellStart"/>
      <w:r w:rsidRPr="007B3B90">
        <w:rPr>
          <w:rFonts w:cs="Arial"/>
        </w:rPr>
        <w:t>Bettex</w:t>
      </w:r>
      <w:proofErr w:type="spellEnd"/>
      <w:r w:rsidRPr="007B3B90">
        <w:rPr>
          <w:rFonts w:cs="Arial"/>
        </w:rPr>
        <w:t xml:space="preserve"> D. Outpatient endovascular aortic aneurysm repair: experience in 100 consecutive patients.</w:t>
      </w:r>
      <w:r w:rsidRPr="0098621A">
        <w:rPr>
          <w:rFonts w:cs="Arial"/>
        </w:rPr>
        <w:t xml:space="preserve"> </w:t>
      </w:r>
      <w:r w:rsidRPr="007B3B90">
        <w:rPr>
          <w:rFonts w:cs="Arial"/>
        </w:rPr>
        <w:t>Ann Surg. 2013 Nov;258(5):754-8.</w:t>
      </w:r>
    </w:p>
    <w:p w14:paraId="44F384E9" w14:textId="77777777" w:rsidR="00B13212" w:rsidRPr="007B3B90"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proofErr w:type="spellStart"/>
      <w:r w:rsidRPr="007B3B90">
        <w:rPr>
          <w:rFonts w:cs="Arial"/>
        </w:rPr>
        <w:t>Krajcer</w:t>
      </w:r>
      <w:proofErr w:type="spellEnd"/>
      <w:r w:rsidRPr="007B3B90">
        <w:rPr>
          <w:rFonts w:cs="Arial"/>
        </w:rPr>
        <w:t xml:space="preserve"> Z, Ramaiah VG, </w:t>
      </w:r>
      <w:proofErr w:type="spellStart"/>
      <w:r w:rsidRPr="007B3B90">
        <w:rPr>
          <w:rFonts w:cs="Arial"/>
        </w:rPr>
        <w:t>Henao</w:t>
      </w:r>
      <w:proofErr w:type="spellEnd"/>
      <w:r w:rsidRPr="007B3B90">
        <w:rPr>
          <w:rFonts w:cs="Arial"/>
        </w:rPr>
        <w:t xml:space="preserve"> EA, Metzger DC, Nelson WK, </w:t>
      </w:r>
      <w:proofErr w:type="spellStart"/>
      <w:r w:rsidRPr="007B3B90">
        <w:rPr>
          <w:rFonts w:cs="Arial"/>
        </w:rPr>
        <w:t>Moursi</w:t>
      </w:r>
      <w:proofErr w:type="spellEnd"/>
      <w:r w:rsidRPr="007B3B90">
        <w:rPr>
          <w:rFonts w:cs="Arial"/>
        </w:rPr>
        <w:t xml:space="preserve"> MM, </w:t>
      </w:r>
      <w:proofErr w:type="spellStart"/>
      <w:r w:rsidRPr="007B3B90">
        <w:rPr>
          <w:rFonts w:cs="Arial"/>
        </w:rPr>
        <w:t>Rajasinghe</w:t>
      </w:r>
      <w:proofErr w:type="spellEnd"/>
      <w:r w:rsidRPr="007B3B90">
        <w:rPr>
          <w:rFonts w:cs="Arial"/>
        </w:rPr>
        <w:t xml:space="preserve"> HA, Al-</w:t>
      </w:r>
      <w:proofErr w:type="spellStart"/>
      <w:r w:rsidRPr="007B3B90">
        <w:rPr>
          <w:rFonts w:cs="Arial"/>
        </w:rPr>
        <w:t>Dallow</w:t>
      </w:r>
      <w:proofErr w:type="spellEnd"/>
      <w:r w:rsidRPr="007B3B90">
        <w:rPr>
          <w:rFonts w:cs="Arial"/>
        </w:rPr>
        <w:t xml:space="preserve"> R, Miller LE; LIFE Registry Investigators. Perioperative Outcomes From the Prospective </w:t>
      </w:r>
      <w:proofErr w:type="spellStart"/>
      <w:r w:rsidRPr="007B3B90">
        <w:rPr>
          <w:rFonts w:cs="Arial"/>
        </w:rPr>
        <w:t>Multicenter</w:t>
      </w:r>
      <w:proofErr w:type="spellEnd"/>
      <w:r w:rsidRPr="007B3B90">
        <w:rPr>
          <w:rFonts w:cs="Arial"/>
        </w:rPr>
        <w:t xml:space="preserve"> Least Invasive Fast-Track EVAR (LIFE) Registry. J </w:t>
      </w:r>
      <w:proofErr w:type="spellStart"/>
      <w:r w:rsidRPr="007B3B90">
        <w:rPr>
          <w:rFonts w:cs="Arial"/>
        </w:rPr>
        <w:t>Endovasc</w:t>
      </w:r>
      <w:proofErr w:type="spellEnd"/>
      <w:r w:rsidRPr="007B3B90">
        <w:rPr>
          <w:rFonts w:cs="Arial"/>
        </w:rPr>
        <w:t xml:space="preserve"> </w:t>
      </w:r>
      <w:proofErr w:type="spellStart"/>
      <w:r w:rsidRPr="007B3B90">
        <w:rPr>
          <w:rFonts w:cs="Arial"/>
        </w:rPr>
        <w:t>Ther</w:t>
      </w:r>
      <w:proofErr w:type="spellEnd"/>
      <w:r w:rsidRPr="007B3B90">
        <w:rPr>
          <w:rFonts w:cs="Arial"/>
        </w:rPr>
        <w:t>. 2018 Feb;25(1):6-13.</w:t>
      </w:r>
    </w:p>
    <w:p w14:paraId="4D3EB902" w14:textId="77777777" w:rsidR="00B13212" w:rsidRPr="007B3B90"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r w:rsidRPr="007B3B90">
        <w:rPr>
          <w:rFonts w:cs="Arial"/>
        </w:rPr>
        <w:t>NHS Outcomes framework 2013/14. Department of Health, available at https://www.gov.uk/government/uploads/system/uploads/attachment_data/file/213055/121109- NHS-Outcomes-Framework-2013-14.pdf, last accessed 25th Jan 2015</w:t>
      </w:r>
    </w:p>
    <w:p w14:paraId="7A4C5DCF" w14:textId="77777777" w:rsidR="00B13212" w:rsidRPr="007B3B90"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r w:rsidRPr="007B3B90">
        <w:rPr>
          <w:rFonts w:cs="Arial"/>
        </w:rPr>
        <w:t xml:space="preserve">Block PC, </w:t>
      </w:r>
      <w:proofErr w:type="spellStart"/>
      <w:r w:rsidRPr="007B3B90">
        <w:rPr>
          <w:rFonts w:cs="Arial"/>
        </w:rPr>
        <w:t>Ockene</w:t>
      </w:r>
      <w:proofErr w:type="spellEnd"/>
      <w:r w:rsidRPr="007B3B90">
        <w:rPr>
          <w:rFonts w:cs="Arial"/>
        </w:rPr>
        <w:t xml:space="preserve"> I, Goldberg RJ, </w:t>
      </w:r>
      <w:proofErr w:type="spellStart"/>
      <w:r w:rsidRPr="007B3B90">
        <w:rPr>
          <w:rFonts w:cs="Arial"/>
        </w:rPr>
        <w:t>Butterly</w:t>
      </w:r>
      <w:proofErr w:type="spellEnd"/>
      <w:r w:rsidRPr="007B3B90">
        <w:rPr>
          <w:rFonts w:cs="Arial"/>
        </w:rPr>
        <w:t xml:space="preserve"> J, Block EH, </w:t>
      </w:r>
      <w:proofErr w:type="spellStart"/>
      <w:r w:rsidRPr="007B3B90">
        <w:rPr>
          <w:rFonts w:cs="Arial"/>
        </w:rPr>
        <w:t>Degon</w:t>
      </w:r>
      <w:proofErr w:type="spellEnd"/>
      <w:r w:rsidRPr="007B3B90">
        <w:rPr>
          <w:rFonts w:cs="Arial"/>
        </w:rPr>
        <w:t xml:space="preserve"> C, et al. A prospective randomized trial of outpatient versus inpatient cardiac catheterization. N </w:t>
      </w:r>
      <w:proofErr w:type="spellStart"/>
      <w:r w:rsidRPr="007B3B90">
        <w:rPr>
          <w:rFonts w:cs="Arial"/>
        </w:rPr>
        <w:t>Engl</w:t>
      </w:r>
      <w:proofErr w:type="spellEnd"/>
      <w:r w:rsidRPr="007B3B90">
        <w:rPr>
          <w:rFonts w:cs="Arial"/>
        </w:rPr>
        <w:t xml:space="preserve"> J Med. 1988;319(19):1251-5.</w:t>
      </w:r>
    </w:p>
    <w:p w14:paraId="5EB7D777" w14:textId="77777777" w:rsidR="00B13212" w:rsidRPr="007B3B90"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r w:rsidRPr="007B3B90">
        <w:rPr>
          <w:rFonts w:cs="Arial"/>
        </w:rPr>
        <w:t xml:space="preserve">Vaughan J, </w:t>
      </w:r>
      <w:proofErr w:type="spellStart"/>
      <w:r w:rsidRPr="007B3B90">
        <w:rPr>
          <w:rFonts w:cs="Arial"/>
        </w:rPr>
        <w:t>Gurusamy</w:t>
      </w:r>
      <w:proofErr w:type="spellEnd"/>
      <w:r w:rsidRPr="007B3B90">
        <w:rPr>
          <w:rFonts w:cs="Arial"/>
        </w:rPr>
        <w:t xml:space="preserve"> KS, Davidson BR. Day-surgery versus overnight stay surgery for laparoscopic cholecystectomy. Cochrane Database </w:t>
      </w:r>
      <w:proofErr w:type="spellStart"/>
      <w:r w:rsidRPr="007B3B90">
        <w:rPr>
          <w:rFonts w:cs="Arial"/>
        </w:rPr>
        <w:t>Syst</w:t>
      </w:r>
      <w:proofErr w:type="spellEnd"/>
      <w:r w:rsidRPr="007B3B90">
        <w:rPr>
          <w:rFonts w:cs="Arial"/>
        </w:rPr>
        <w:t xml:space="preserve"> Rev. 2013 Jul 31;7:CD006798.</w:t>
      </w:r>
    </w:p>
    <w:p w14:paraId="4DD1E771" w14:textId="77777777" w:rsidR="00B13212" w:rsidRPr="007B3B90"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r w:rsidRPr="007B3B90">
        <w:rPr>
          <w:rFonts w:cs="Arial"/>
        </w:rPr>
        <w:t>NHS Improving Quality in collaboration with NHS England. A better journey for patients seven days a week and better deal for the NHS, Enhanced recovery care pathway - Progress review (2012/13) and level of ambition (2014/15). Available at http://www.nhsiq.nhs.uk/resource-</w:t>
      </w:r>
      <w:r w:rsidRPr="007B3B90">
        <w:rPr>
          <w:rFonts w:cs="Arial"/>
        </w:rPr>
        <w:lastRenderedPageBreak/>
        <w:t>search/publications/enhanced-recovery-care-pathway-review.aspx, last accessed 25th Jan 2015.</w:t>
      </w:r>
    </w:p>
    <w:p w14:paraId="08A8B385" w14:textId="77777777" w:rsidR="00B13212" w:rsidRPr="007B3B90"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r w:rsidRPr="007B3B90">
        <w:rPr>
          <w:rFonts w:cs="Arial"/>
        </w:rPr>
        <w:t xml:space="preserve">Paton F, Chambers D, Wilson P, Eastwood A, Craig D, Fox D, Jayne D, </w:t>
      </w:r>
      <w:proofErr w:type="spellStart"/>
      <w:r w:rsidRPr="007B3B90">
        <w:rPr>
          <w:rFonts w:cs="Arial"/>
        </w:rPr>
        <w:t>McGinnes</w:t>
      </w:r>
      <w:proofErr w:type="spellEnd"/>
      <w:r w:rsidRPr="007B3B90">
        <w:rPr>
          <w:rFonts w:cs="Arial"/>
        </w:rPr>
        <w:t xml:space="preserve"> E. Initiatives to reduce length of stay in acute hospital settings. Health Services and Delivery Research 2014; Vol. 2: No. 21</w:t>
      </w:r>
    </w:p>
    <w:p w14:paraId="4AFBA425" w14:textId="77777777" w:rsidR="00B13212" w:rsidRPr="007B3B90"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r w:rsidRPr="007B3B90">
        <w:rPr>
          <w:rFonts w:cs="Arial"/>
        </w:rPr>
        <w:t xml:space="preserve">Scantling-Birch Y, Martin G, Balaji S, </w:t>
      </w:r>
      <w:proofErr w:type="spellStart"/>
      <w:r w:rsidRPr="007B3B90">
        <w:rPr>
          <w:rFonts w:cs="Arial"/>
        </w:rPr>
        <w:t>Trant</w:t>
      </w:r>
      <w:proofErr w:type="spellEnd"/>
      <w:r w:rsidRPr="007B3B90">
        <w:rPr>
          <w:rFonts w:cs="Arial"/>
        </w:rPr>
        <w:t xml:space="preserve"> J, </w:t>
      </w:r>
      <w:proofErr w:type="spellStart"/>
      <w:r w:rsidRPr="007B3B90">
        <w:rPr>
          <w:rFonts w:cs="Arial"/>
        </w:rPr>
        <w:t>Nordon</w:t>
      </w:r>
      <w:proofErr w:type="spellEnd"/>
      <w:r w:rsidRPr="007B3B90">
        <w:rPr>
          <w:rFonts w:cs="Arial"/>
        </w:rPr>
        <w:t xml:space="preserve"> I, Malina M, Riga C, Bicknell C. Examining the impact of psychological distress on short-term postoperative outcomes after elective endovascular aneurysm repair (EVAR). J </w:t>
      </w:r>
      <w:proofErr w:type="spellStart"/>
      <w:r w:rsidRPr="007B3B90">
        <w:rPr>
          <w:rFonts w:cs="Arial"/>
        </w:rPr>
        <w:t>Psychosom</w:t>
      </w:r>
      <w:proofErr w:type="spellEnd"/>
      <w:r w:rsidRPr="007B3B90">
        <w:rPr>
          <w:rFonts w:cs="Arial"/>
        </w:rPr>
        <w:t xml:space="preserve"> Res. 2021 Mar;142:110367.</w:t>
      </w:r>
    </w:p>
    <w:p w14:paraId="32D50D70" w14:textId="77777777" w:rsidR="00B13212" w:rsidRPr="007B3B90"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r w:rsidRPr="007B3B90">
        <w:rPr>
          <w:rFonts w:cs="Arial"/>
        </w:rPr>
        <w:t>Desai J. Improving outcomes in older people undergoing elective surgery. J Roy Coll Physicians Ed. 2010;40:348-53</w:t>
      </w:r>
    </w:p>
    <w:p w14:paraId="32714E0A" w14:textId="77777777" w:rsidR="00B13212" w:rsidRPr="007B3B90"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proofErr w:type="spellStart"/>
      <w:r w:rsidRPr="0098621A">
        <w:rPr>
          <w:rFonts w:cs="Arial"/>
        </w:rPr>
        <w:t>Hltaky</w:t>
      </w:r>
      <w:proofErr w:type="spellEnd"/>
      <w:r w:rsidRPr="0098621A">
        <w:rPr>
          <w:rFonts w:cs="Arial"/>
        </w:rPr>
        <w:t xml:space="preserve"> MA </w:t>
      </w:r>
      <w:proofErr w:type="spellStart"/>
      <w:r w:rsidRPr="0098621A">
        <w:rPr>
          <w:rFonts w:cs="Arial"/>
        </w:rPr>
        <w:t>Boineau</w:t>
      </w:r>
      <w:proofErr w:type="spellEnd"/>
      <w:r w:rsidRPr="0098621A">
        <w:rPr>
          <w:rFonts w:cs="Arial"/>
        </w:rPr>
        <w:t xml:space="preserve"> RE et al. </w:t>
      </w:r>
      <w:r w:rsidRPr="007B3B90">
        <w:rPr>
          <w:rFonts w:cs="Arial"/>
        </w:rPr>
        <w:t>A brief self-administered questionnaire to determine functional capacity (The Duke Activity Status Index). Am J Cardio. 1989; 64: 651-654</w:t>
      </w:r>
    </w:p>
    <w:p w14:paraId="3FCBB2FE" w14:textId="77777777" w:rsidR="00B13212" w:rsidRPr="007B3B90"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r w:rsidRPr="007B3B90">
        <w:rPr>
          <w:rFonts w:cs="Arial"/>
        </w:rPr>
        <w:t xml:space="preserve">ACC/AHA 2007 Guidelines on Perioperative Cardiovascular Evaluation and Care for Noncardiac Surgery: Executive Summary. Fleisher LA, Beckman JA, Brown KA et al. Circulation. 2007 Oct 23;116(17):1971-96. </w:t>
      </w:r>
    </w:p>
    <w:p w14:paraId="049EA08E" w14:textId="77777777" w:rsidR="00B13212" w:rsidRPr="007B3B90"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r w:rsidRPr="007B3B90">
        <w:rPr>
          <w:rFonts w:cs="Arial"/>
        </w:rPr>
        <w:t xml:space="preserve">Smith SC, Cano S, Lamping DL, </w:t>
      </w:r>
      <w:proofErr w:type="spellStart"/>
      <w:r w:rsidRPr="007B3B90">
        <w:rPr>
          <w:rFonts w:cs="Arial"/>
        </w:rPr>
        <w:t>Staniszewska</w:t>
      </w:r>
      <w:proofErr w:type="spellEnd"/>
      <w:r w:rsidRPr="007B3B90">
        <w:rPr>
          <w:rFonts w:cs="Arial"/>
        </w:rPr>
        <w:t xml:space="preserve"> S, Browne J, Lewsey J, van der </w:t>
      </w:r>
      <w:proofErr w:type="spellStart"/>
      <w:r w:rsidRPr="007B3B90">
        <w:rPr>
          <w:rFonts w:cs="Arial"/>
        </w:rPr>
        <w:t>Meulen</w:t>
      </w:r>
      <w:proofErr w:type="spellEnd"/>
      <w:r w:rsidRPr="007B3B90">
        <w:rPr>
          <w:rFonts w:cs="Arial"/>
        </w:rPr>
        <w:t xml:space="preserve"> J, Cairns J, Black N. Patient Reported Outcome Measures (PROMs) for routine use in Treatment </w:t>
      </w:r>
      <w:proofErr w:type="spellStart"/>
      <w:r w:rsidRPr="007B3B90">
        <w:rPr>
          <w:rFonts w:cs="Arial"/>
        </w:rPr>
        <w:t>Centers</w:t>
      </w:r>
      <w:proofErr w:type="spellEnd"/>
      <w:r w:rsidRPr="007B3B90">
        <w:rPr>
          <w:rFonts w:cs="Arial"/>
        </w:rPr>
        <w:t xml:space="preserve">: Recommendations based on a review of the scientific evidence. Final Report to the Department of Health. 2005. Health Services Research Unit, London School of Hygiene and Tropical Medicine. </w:t>
      </w:r>
    </w:p>
    <w:p w14:paraId="548218BD" w14:textId="3B8CB592" w:rsidR="00B13212" w:rsidRDefault="00B13212" w:rsidP="00211B13">
      <w:pPr>
        <w:pStyle w:val="ListParagraph"/>
        <w:numPr>
          <w:ilvl w:val="0"/>
          <w:numId w:val="24"/>
        </w:numPr>
        <w:tabs>
          <w:tab w:val="left" w:pos="9639"/>
          <w:tab w:val="left" w:pos="9781"/>
          <w:tab w:val="left" w:pos="10065"/>
        </w:tabs>
        <w:ind w:left="567" w:right="301"/>
        <w:contextualSpacing w:val="0"/>
        <w:jc w:val="both"/>
        <w:rPr>
          <w:rFonts w:cs="Arial"/>
        </w:rPr>
      </w:pPr>
      <w:r w:rsidRPr="007B3B90">
        <w:rPr>
          <w:rFonts w:cs="Arial"/>
        </w:rPr>
        <w:t>Peach G, Romaine J, Wilson A, Holt PJ, Thompson MM, Hinchliffe RJ, Bradley C. Design of new patient-reported outcome measures to assess quality of life, symptoms and treatment satisfaction in patients with abdominal aortic aneurysm. Br J Surg. 2016 Jul;103(8):1003-11.</w:t>
      </w:r>
    </w:p>
    <w:p w14:paraId="03F1E1B7" w14:textId="5B5DAA03" w:rsidR="00DA07C7" w:rsidRDefault="00C22DB1" w:rsidP="003A2371">
      <w:pPr>
        <w:pStyle w:val="ListParagraph"/>
        <w:numPr>
          <w:ilvl w:val="0"/>
          <w:numId w:val="24"/>
        </w:numPr>
        <w:tabs>
          <w:tab w:val="left" w:pos="9639"/>
          <w:tab w:val="left" w:pos="9781"/>
          <w:tab w:val="left" w:pos="10065"/>
        </w:tabs>
        <w:ind w:left="567" w:right="301"/>
        <w:contextualSpacing w:val="0"/>
        <w:jc w:val="both"/>
        <w:rPr>
          <w:b/>
          <w:bCs/>
          <w:sz w:val="22"/>
          <w:szCs w:val="22"/>
        </w:rPr>
      </w:pPr>
      <w:r w:rsidRPr="00C75CED">
        <w:rPr>
          <w:rFonts w:cs="Arial"/>
        </w:rPr>
        <w:t xml:space="preserve">Romaine J, Peach G, Thompson M, Hinchliffe R and Bradley C (2019) Psychometric validation of three new condition-specific questionnaires to assess quality of life, symptoms and treatment satisfaction of patients with aortic aneurysm. Journal of Patient-Reported Outcomes 3: 29. </w:t>
      </w:r>
      <w:proofErr w:type="spellStart"/>
      <w:r w:rsidRPr="00C75CED">
        <w:rPr>
          <w:rFonts w:cs="Arial"/>
        </w:rPr>
        <w:t>doi</w:t>
      </w:r>
      <w:proofErr w:type="spellEnd"/>
      <w:r w:rsidRPr="00C75CED">
        <w:rPr>
          <w:rFonts w:cs="Arial"/>
        </w:rPr>
        <w:t>: 10.1186/s41687-019-0119</w:t>
      </w:r>
      <w:r w:rsidR="00DA07C7">
        <w:rPr>
          <w:b/>
          <w:bCs/>
          <w:sz w:val="22"/>
          <w:szCs w:val="22"/>
        </w:rPr>
        <w:br w:type="page"/>
      </w:r>
    </w:p>
    <w:p w14:paraId="322060C6" w14:textId="5EC5DB76" w:rsidR="00663512" w:rsidRPr="007B3B90" w:rsidRDefault="00663512" w:rsidP="00D057F1">
      <w:pPr>
        <w:rPr>
          <w:b/>
          <w:bCs/>
          <w:sz w:val="22"/>
          <w:szCs w:val="22"/>
        </w:rPr>
      </w:pPr>
      <w:bookmarkStart w:id="67" w:name="_Toc33089455"/>
      <w:r w:rsidRPr="007B3B90">
        <w:rPr>
          <w:b/>
          <w:bCs/>
          <w:sz w:val="22"/>
          <w:szCs w:val="22"/>
        </w:rPr>
        <w:lastRenderedPageBreak/>
        <w:t>Appendix 1.</w:t>
      </w:r>
      <w:r w:rsidRPr="007B3B90">
        <w:rPr>
          <w:b/>
          <w:bCs/>
          <w:sz w:val="22"/>
          <w:szCs w:val="22"/>
        </w:rPr>
        <w:tab/>
      </w:r>
      <w:bookmarkEnd w:id="67"/>
      <w:r w:rsidR="00211B13" w:rsidRPr="007B3B90">
        <w:rPr>
          <w:b/>
          <w:bCs/>
          <w:sz w:val="22"/>
          <w:szCs w:val="22"/>
        </w:rPr>
        <w:t>Schedule of data collection for the formal assessment of STAR</w:t>
      </w:r>
    </w:p>
    <w:p w14:paraId="1F2D5D61" w14:textId="77777777" w:rsidR="00663512" w:rsidRPr="007B3B90" w:rsidRDefault="00663512" w:rsidP="00663512"/>
    <w:tbl>
      <w:tblPr>
        <w:tblStyle w:val="TableGrid"/>
        <w:tblW w:w="9499" w:type="dxa"/>
        <w:tblInd w:w="-147" w:type="dxa"/>
        <w:tblLayout w:type="fixed"/>
        <w:tblLook w:val="04A0" w:firstRow="1" w:lastRow="0" w:firstColumn="1" w:lastColumn="0" w:noHBand="0" w:noVBand="1"/>
      </w:tblPr>
      <w:tblGrid>
        <w:gridCol w:w="2177"/>
        <w:gridCol w:w="1252"/>
        <w:gridCol w:w="1108"/>
        <w:gridCol w:w="1275"/>
        <w:gridCol w:w="1134"/>
        <w:gridCol w:w="1276"/>
        <w:gridCol w:w="1277"/>
      </w:tblGrid>
      <w:tr w:rsidR="005A011E" w:rsidRPr="007B3B90" w14:paraId="566A1531" w14:textId="774AAD56" w:rsidTr="000372E8">
        <w:trPr>
          <w:trHeight w:val="284"/>
        </w:trPr>
        <w:tc>
          <w:tcPr>
            <w:tcW w:w="2177" w:type="dxa"/>
            <w:shd w:val="clear" w:color="auto" w:fill="A5A5A5" w:themeFill="accent3"/>
            <w:vAlign w:val="center"/>
          </w:tcPr>
          <w:p w14:paraId="0C87D49F" w14:textId="77777777" w:rsidR="005A011E" w:rsidRPr="007B3B90" w:rsidRDefault="005A011E" w:rsidP="001F4480">
            <w:pPr>
              <w:rPr>
                <w:rFonts w:cs="Arial"/>
                <w:b/>
                <w:bCs/>
                <w:szCs w:val="22"/>
              </w:rPr>
            </w:pPr>
          </w:p>
        </w:tc>
        <w:tc>
          <w:tcPr>
            <w:tcW w:w="1252" w:type="dxa"/>
            <w:shd w:val="clear" w:color="auto" w:fill="A5A5A5" w:themeFill="accent3"/>
            <w:vAlign w:val="center"/>
          </w:tcPr>
          <w:p w14:paraId="433FE3AA" w14:textId="6EE08276" w:rsidR="005A011E" w:rsidRPr="007B3B90" w:rsidRDefault="005A011E" w:rsidP="000B4F04">
            <w:pPr>
              <w:jc w:val="center"/>
              <w:rPr>
                <w:rFonts w:cs="Arial"/>
                <w:sz w:val="21"/>
                <w:szCs w:val="20"/>
              </w:rPr>
            </w:pPr>
            <w:r w:rsidRPr="007B3B90">
              <w:rPr>
                <w:rFonts w:cs="Arial"/>
                <w:szCs w:val="22"/>
              </w:rPr>
              <w:t xml:space="preserve">Baseline </w:t>
            </w:r>
            <w:r w:rsidRPr="007B3B90">
              <w:rPr>
                <w:rFonts w:cs="Arial"/>
                <w:sz w:val="21"/>
                <w:szCs w:val="20"/>
              </w:rPr>
              <w:t xml:space="preserve">(Routine) </w:t>
            </w:r>
          </w:p>
          <w:p w14:paraId="51F49CB2" w14:textId="4A7C84AE" w:rsidR="005A011E" w:rsidRPr="007B3B90" w:rsidRDefault="005A011E" w:rsidP="000B4F04">
            <w:pPr>
              <w:jc w:val="center"/>
              <w:rPr>
                <w:rFonts w:cs="Arial"/>
                <w:szCs w:val="22"/>
              </w:rPr>
            </w:pPr>
            <w:r w:rsidRPr="007B3B90">
              <w:rPr>
                <w:rFonts w:cs="Arial"/>
                <w:szCs w:val="22"/>
              </w:rPr>
              <w:t>pre-op clinic</w:t>
            </w:r>
          </w:p>
        </w:tc>
        <w:tc>
          <w:tcPr>
            <w:tcW w:w="1108" w:type="dxa"/>
            <w:shd w:val="clear" w:color="auto" w:fill="A5A5A5" w:themeFill="accent3"/>
            <w:vAlign w:val="center"/>
          </w:tcPr>
          <w:p w14:paraId="302C36B3" w14:textId="2F268DC5" w:rsidR="005A011E" w:rsidRPr="007B3B90" w:rsidRDefault="005A011E" w:rsidP="00CC2F0C">
            <w:pPr>
              <w:jc w:val="center"/>
              <w:rPr>
                <w:rFonts w:cs="Arial"/>
                <w:sz w:val="21"/>
                <w:szCs w:val="20"/>
              </w:rPr>
            </w:pPr>
            <w:r w:rsidRPr="007B3B90">
              <w:rPr>
                <w:rFonts w:cs="Arial"/>
                <w:szCs w:val="22"/>
              </w:rPr>
              <w:t>In hospital</w:t>
            </w:r>
            <w:r w:rsidRPr="007B3B90">
              <w:rPr>
                <w:rFonts w:cs="Arial"/>
                <w:sz w:val="21"/>
                <w:szCs w:val="20"/>
              </w:rPr>
              <w:t xml:space="preserve"> </w:t>
            </w:r>
          </w:p>
        </w:tc>
        <w:tc>
          <w:tcPr>
            <w:tcW w:w="1275" w:type="dxa"/>
            <w:shd w:val="clear" w:color="auto" w:fill="A5A5A5" w:themeFill="accent3"/>
          </w:tcPr>
          <w:p w14:paraId="544007F7" w14:textId="77777777" w:rsidR="00237319" w:rsidRDefault="00237319" w:rsidP="000B4F04">
            <w:pPr>
              <w:jc w:val="center"/>
              <w:rPr>
                <w:rFonts w:cs="Arial"/>
                <w:szCs w:val="22"/>
              </w:rPr>
            </w:pPr>
          </w:p>
          <w:p w14:paraId="3A26A721" w14:textId="29D10F2D" w:rsidR="005A011E" w:rsidRPr="007B3B90" w:rsidRDefault="00237319" w:rsidP="000B4F04">
            <w:pPr>
              <w:jc w:val="center"/>
              <w:rPr>
                <w:rFonts w:cs="Arial"/>
                <w:szCs w:val="22"/>
              </w:rPr>
            </w:pPr>
            <w:r>
              <w:rPr>
                <w:rFonts w:cs="Arial"/>
                <w:szCs w:val="22"/>
              </w:rPr>
              <w:t>2-4 days after discharge</w:t>
            </w:r>
          </w:p>
        </w:tc>
        <w:tc>
          <w:tcPr>
            <w:tcW w:w="1134" w:type="dxa"/>
            <w:shd w:val="clear" w:color="auto" w:fill="A5A5A5" w:themeFill="accent3"/>
            <w:vAlign w:val="center"/>
          </w:tcPr>
          <w:p w14:paraId="1C779B0A" w14:textId="48EFFF6C" w:rsidR="005A011E" w:rsidRPr="007B3B90" w:rsidRDefault="005A011E" w:rsidP="000B4F04">
            <w:pPr>
              <w:jc w:val="center"/>
              <w:rPr>
                <w:rFonts w:cs="Arial"/>
                <w:szCs w:val="22"/>
              </w:rPr>
            </w:pPr>
            <w:r w:rsidRPr="007B3B90">
              <w:rPr>
                <w:rFonts w:cs="Arial"/>
                <w:szCs w:val="22"/>
              </w:rPr>
              <w:t>30 Days</w:t>
            </w:r>
          </w:p>
        </w:tc>
        <w:tc>
          <w:tcPr>
            <w:tcW w:w="1276" w:type="dxa"/>
            <w:shd w:val="clear" w:color="auto" w:fill="A5A5A5" w:themeFill="accent3"/>
            <w:vAlign w:val="center"/>
          </w:tcPr>
          <w:p w14:paraId="588A8DAD" w14:textId="13C653B6" w:rsidR="005A011E" w:rsidRPr="007B3B90" w:rsidRDefault="005A011E" w:rsidP="000B4F04">
            <w:pPr>
              <w:jc w:val="center"/>
              <w:rPr>
                <w:rFonts w:cs="Arial"/>
                <w:szCs w:val="22"/>
              </w:rPr>
            </w:pPr>
            <w:r>
              <w:rPr>
                <w:rFonts w:cs="Arial"/>
                <w:szCs w:val="22"/>
              </w:rPr>
              <w:t xml:space="preserve">3 and </w:t>
            </w:r>
            <w:r w:rsidRPr="007B3B90">
              <w:rPr>
                <w:rFonts w:cs="Arial"/>
                <w:szCs w:val="22"/>
              </w:rPr>
              <w:t>6 months</w:t>
            </w:r>
          </w:p>
        </w:tc>
        <w:tc>
          <w:tcPr>
            <w:tcW w:w="1277" w:type="dxa"/>
            <w:shd w:val="clear" w:color="auto" w:fill="A5A5A5" w:themeFill="accent3"/>
          </w:tcPr>
          <w:p w14:paraId="23E68EAA" w14:textId="77777777" w:rsidR="00237319" w:rsidRDefault="00237319" w:rsidP="000B4F04">
            <w:pPr>
              <w:jc w:val="center"/>
              <w:rPr>
                <w:rFonts w:cs="Arial"/>
                <w:szCs w:val="22"/>
              </w:rPr>
            </w:pPr>
          </w:p>
          <w:p w14:paraId="4E817479" w14:textId="18AC452D" w:rsidR="005A011E" w:rsidRPr="007B3B90" w:rsidRDefault="005A011E" w:rsidP="000B4F04">
            <w:pPr>
              <w:jc w:val="center"/>
              <w:rPr>
                <w:rFonts w:cs="Arial"/>
                <w:szCs w:val="22"/>
              </w:rPr>
            </w:pPr>
            <w:r w:rsidRPr="007B3B90">
              <w:rPr>
                <w:rFonts w:cs="Arial"/>
                <w:szCs w:val="22"/>
              </w:rPr>
              <w:t>12 months</w:t>
            </w:r>
          </w:p>
          <w:p w14:paraId="06E8C464" w14:textId="25A48CAD" w:rsidR="005A011E" w:rsidRPr="007B3B90" w:rsidRDefault="005A011E" w:rsidP="000B4F04">
            <w:pPr>
              <w:jc w:val="center"/>
              <w:rPr>
                <w:rFonts w:cs="Arial"/>
                <w:szCs w:val="22"/>
              </w:rPr>
            </w:pPr>
            <w:r w:rsidRPr="007B3B90">
              <w:rPr>
                <w:rFonts w:cs="Arial"/>
                <w:szCs w:val="22"/>
              </w:rPr>
              <w:t>(from routine F/U data)</w:t>
            </w:r>
          </w:p>
        </w:tc>
      </w:tr>
      <w:tr w:rsidR="005A011E" w:rsidRPr="007B3B90" w14:paraId="3AC6B217" w14:textId="2AC2E574" w:rsidTr="000372E8">
        <w:trPr>
          <w:trHeight w:hRule="exact" w:val="679"/>
        </w:trPr>
        <w:tc>
          <w:tcPr>
            <w:tcW w:w="2177" w:type="dxa"/>
            <w:shd w:val="clear" w:color="auto" w:fill="A5A5A5" w:themeFill="accent3"/>
            <w:vAlign w:val="center"/>
          </w:tcPr>
          <w:p w14:paraId="3EBBCF7E" w14:textId="77777777" w:rsidR="005A011E" w:rsidRPr="007B3B90" w:rsidRDefault="005A011E" w:rsidP="001F4480">
            <w:pPr>
              <w:rPr>
                <w:rFonts w:cs="Arial"/>
                <w:b/>
                <w:bCs/>
                <w:szCs w:val="22"/>
              </w:rPr>
            </w:pPr>
            <w:r w:rsidRPr="007B3B90">
              <w:rPr>
                <w:rFonts w:cs="Arial"/>
                <w:b/>
                <w:bCs/>
                <w:szCs w:val="22"/>
              </w:rPr>
              <w:t>Demographic profile</w:t>
            </w:r>
          </w:p>
        </w:tc>
        <w:tc>
          <w:tcPr>
            <w:tcW w:w="1252" w:type="dxa"/>
            <w:vAlign w:val="center"/>
          </w:tcPr>
          <w:p w14:paraId="4613F4AE" w14:textId="77777777" w:rsidR="005A011E" w:rsidRPr="007B3B90" w:rsidRDefault="005A011E" w:rsidP="00237319">
            <w:pPr>
              <w:jc w:val="center"/>
              <w:rPr>
                <w:rFonts w:cs="Arial"/>
                <w:szCs w:val="22"/>
              </w:rPr>
            </w:pPr>
            <w:r w:rsidRPr="007B3B90">
              <w:rPr>
                <w:rFonts w:cs="Arial"/>
                <w:szCs w:val="22"/>
              </w:rPr>
              <w:t>x</w:t>
            </w:r>
          </w:p>
        </w:tc>
        <w:tc>
          <w:tcPr>
            <w:tcW w:w="1108" w:type="dxa"/>
            <w:vAlign w:val="center"/>
          </w:tcPr>
          <w:p w14:paraId="069EA43C" w14:textId="77777777" w:rsidR="005A011E" w:rsidRPr="007B3B90" w:rsidRDefault="005A011E" w:rsidP="00237319">
            <w:pPr>
              <w:jc w:val="center"/>
              <w:rPr>
                <w:rFonts w:cs="Arial"/>
                <w:szCs w:val="22"/>
              </w:rPr>
            </w:pPr>
          </w:p>
        </w:tc>
        <w:tc>
          <w:tcPr>
            <w:tcW w:w="1275" w:type="dxa"/>
            <w:vAlign w:val="center"/>
          </w:tcPr>
          <w:p w14:paraId="478DC8BA" w14:textId="77777777" w:rsidR="005A011E" w:rsidRPr="007B3B90" w:rsidRDefault="005A011E" w:rsidP="00237319">
            <w:pPr>
              <w:jc w:val="center"/>
              <w:rPr>
                <w:rFonts w:cs="Arial"/>
                <w:szCs w:val="22"/>
              </w:rPr>
            </w:pPr>
          </w:p>
        </w:tc>
        <w:tc>
          <w:tcPr>
            <w:tcW w:w="1134" w:type="dxa"/>
            <w:vAlign w:val="center"/>
          </w:tcPr>
          <w:p w14:paraId="5987ED17" w14:textId="0D59C2AB" w:rsidR="005A011E" w:rsidRPr="007B3B90" w:rsidRDefault="005A011E" w:rsidP="00237319">
            <w:pPr>
              <w:jc w:val="center"/>
              <w:rPr>
                <w:rFonts w:cs="Arial"/>
                <w:szCs w:val="22"/>
              </w:rPr>
            </w:pPr>
          </w:p>
        </w:tc>
        <w:tc>
          <w:tcPr>
            <w:tcW w:w="1276" w:type="dxa"/>
            <w:vAlign w:val="center"/>
          </w:tcPr>
          <w:p w14:paraId="551C53C6" w14:textId="73C63F4F" w:rsidR="005A011E" w:rsidRPr="007B3B90" w:rsidRDefault="005A011E" w:rsidP="00237319">
            <w:pPr>
              <w:jc w:val="center"/>
              <w:rPr>
                <w:rFonts w:cs="Arial"/>
                <w:szCs w:val="22"/>
              </w:rPr>
            </w:pPr>
          </w:p>
        </w:tc>
        <w:tc>
          <w:tcPr>
            <w:tcW w:w="1277" w:type="dxa"/>
            <w:vAlign w:val="center"/>
          </w:tcPr>
          <w:p w14:paraId="11E964AA" w14:textId="77777777" w:rsidR="005A011E" w:rsidRPr="007B3B90" w:rsidRDefault="005A011E" w:rsidP="00237319">
            <w:pPr>
              <w:jc w:val="center"/>
              <w:rPr>
                <w:rFonts w:cs="Arial"/>
                <w:szCs w:val="22"/>
              </w:rPr>
            </w:pPr>
          </w:p>
        </w:tc>
      </w:tr>
      <w:tr w:rsidR="005A011E" w:rsidRPr="007B3B90" w14:paraId="3AA53756" w14:textId="41C79936" w:rsidTr="000372E8">
        <w:trPr>
          <w:trHeight w:hRule="exact" w:val="686"/>
        </w:trPr>
        <w:tc>
          <w:tcPr>
            <w:tcW w:w="2177" w:type="dxa"/>
            <w:shd w:val="clear" w:color="auto" w:fill="A5A5A5" w:themeFill="accent3"/>
            <w:vAlign w:val="center"/>
          </w:tcPr>
          <w:p w14:paraId="73AAEA0E" w14:textId="77777777" w:rsidR="005A011E" w:rsidRPr="007B3B90" w:rsidRDefault="005A011E" w:rsidP="001F4480">
            <w:pPr>
              <w:rPr>
                <w:rFonts w:cs="Arial"/>
                <w:b/>
                <w:bCs/>
                <w:szCs w:val="22"/>
              </w:rPr>
            </w:pPr>
            <w:r w:rsidRPr="007B3B90">
              <w:rPr>
                <w:rFonts w:cs="Arial"/>
                <w:b/>
                <w:bCs/>
                <w:szCs w:val="22"/>
              </w:rPr>
              <w:t>Aneurysm characteristics</w:t>
            </w:r>
          </w:p>
        </w:tc>
        <w:tc>
          <w:tcPr>
            <w:tcW w:w="1252" w:type="dxa"/>
            <w:vAlign w:val="center"/>
          </w:tcPr>
          <w:p w14:paraId="7EE202C8" w14:textId="77777777" w:rsidR="005A011E" w:rsidRPr="007B3B90" w:rsidRDefault="005A011E" w:rsidP="00237319">
            <w:pPr>
              <w:jc w:val="center"/>
              <w:rPr>
                <w:rFonts w:cs="Arial"/>
                <w:szCs w:val="22"/>
              </w:rPr>
            </w:pPr>
            <w:r w:rsidRPr="007B3B90">
              <w:rPr>
                <w:rFonts w:cs="Arial"/>
                <w:szCs w:val="22"/>
              </w:rPr>
              <w:t>x</w:t>
            </w:r>
          </w:p>
        </w:tc>
        <w:tc>
          <w:tcPr>
            <w:tcW w:w="1108" w:type="dxa"/>
            <w:vAlign w:val="center"/>
          </w:tcPr>
          <w:p w14:paraId="3F91C1D8" w14:textId="77777777" w:rsidR="005A011E" w:rsidRPr="007B3B90" w:rsidRDefault="005A011E" w:rsidP="00237319">
            <w:pPr>
              <w:jc w:val="center"/>
              <w:rPr>
                <w:rFonts w:cs="Arial"/>
                <w:szCs w:val="22"/>
              </w:rPr>
            </w:pPr>
          </w:p>
        </w:tc>
        <w:tc>
          <w:tcPr>
            <w:tcW w:w="1275" w:type="dxa"/>
            <w:vAlign w:val="center"/>
          </w:tcPr>
          <w:p w14:paraId="419B08A0" w14:textId="77777777" w:rsidR="005A011E" w:rsidRPr="007B3B90" w:rsidRDefault="005A011E" w:rsidP="00237319">
            <w:pPr>
              <w:jc w:val="center"/>
              <w:rPr>
                <w:rFonts w:cs="Arial"/>
                <w:szCs w:val="22"/>
              </w:rPr>
            </w:pPr>
          </w:p>
        </w:tc>
        <w:tc>
          <w:tcPr>
            <w:tcW w:w="1134" w:type="dxa"/>
            <w:vAlign w:val="center"/>
          </w:tcPr>
          <w:p w14:paraId="3570019D" w14:textId="4F4C6A68" w:rsidR="005A011E" w:rsidRPr="007B3B90" w:rsidRDefault="005A011E" w:rsidP="00237319">
            <w:pPr>
              <w:jc w:val="center"/>
              <w:rPr>
                <w:rFonts w:cs="Arial"/>
                <w:szCs w:val="22"/>
              </w:rPr>
            </w:pPr>
          </w:p>
        </w:tc>
        <w:tc>
          <w:tcPr>
            <w:tcW w:w="1276" w:type="dxa"/>
            <w:vAlign w:val="center"/>
          </w:tcPr>
          <w:p w14:paraId="3FB26A4F" w14:textId="7B52C3AF" w:rsidR="005A011E" w:rsidRPr="007B3B90" w:rsidRDefault="005A011E" w:rsidP="00237319">
            <w:pPr>
              <w:jc w:val="center"/>
              <w:rPr>
                <w:rFonts w:cs="Arial"/>
                <w:szCs w:val="22"/>
              </w:rPr>
            </w:pPr>
          </w:p>
        </w:tc>
        <w:tc>
          <w:tcPr>
            <w:tcW w:w="1277" w:type="dxa"/>
            <w:vAlign w:val="center"/>
          </w:tcPr>
          <w:p w14:paraId="214D8316" w14:textId="77777777" w:rsidR="005A011E" w:rsidRPr="007B3B90" w:rsidRDefault="005A011E" w:rsidP="00237319">
            <w:pPr>
              <w:jc w:val="center"/>
              <w:rPr>
                <w:rFonts w:cs="Arial"/>
                <w:szCs w:val="22"/>
              </w:rPr>
            </w:pPr>
          </w:p>
        </w:tc>
      </w:tr>
      <w:tr w:rsidR="005A011E" w:rsidRPr="007B3B90" w14:paraId="5A2DB32E" w14:textId="35AAADFF" w:rsidTr="000372E8">
        <w:trPr>
          <w:trHeight w:hRule="exact" w:val="567"/>
        </w:trPr>
        <w:tc>
          <w:tcPr>
            <w:tcW w:w="2177" w:type="dxa"/>
            <w:shd w:val="clear" w:color="auto" w:fill="A5A5A5" w:themeFill="accent3"/>
            <w:vAlign w:val="center"/>
          </w:tcPr>
          <w:p w14:paraId="6F48A186" w14:textId="77777777" w:rsidR="005A011E" w:rsidRPr="007B3B90" w:rsidRDefault="005A011E" w:rsidP="001F4480">
            <w:pPr>
              <w:rPr>
                <w:rFonts w:cs="Arial"/>
                <w:b/>
                <w:bCs/>
                <w:szCs w:val="22"/>
              </w:rPr>
            </w:pPr>
            <w:r w:rsidRPr="007B3B90">
              <w:rPr>
                <w:rFonts w:cs="Arial"/>
                <w:b/>
                <w:bCs/>
                <w:szCs w:val="22"/>
              </w:rPr>
              <w:t>Duke Activity Status Index questionnaire</w:t>
            </w:r>
          </w:p>
        </w:tc>
        <w:tc>
          <w:tcPr>
            <w:tcW w:w="1252" w:type="dxa"/>
            <w:vAlign w:val="center"/>
          </w:tcPr>
          <w:p w14:paraId="5069963A" w14:textId="77777777" w:rsidR="005A011E" w:rsidRPr="007B3B90" w:rsidRDefault="005A011E" w:rsidP="00237319">
            <w:pPr>
              <w:jc w:val="center"/>
              <w:rPr>
                <w:rFonts w:cs="Arial"/>
                <w:szCs w:val="22"/>
              </w:rPr>
            </w:pPr>
            <w:r w:rsidRPr="007B3B90">
              <w:rPr>
                <w:rFonts w:cs="Arial"/>
                <w:szCs w:val="22"/>
              </w:rPr>
              <w:t>x</w:t>
            </w:r>
          </w:p>
        </w:tc>
        <w:tc>
          <w:tcPr>
            <w:tcW w:w="1108" w:type="dxa"/>
            <w:vAlign w:val="center"/>
          </w:tcPr>
          <w:p w14:paraId="7DB51558" w14:textId="77777777" w:rsidR="005A011E" w:rsidRPr="007B3B90" w:rsidRDefault="005A011E" w:rsidP="00237319">
            <w:pPr>
              <w:jc w:val="center"/>
              <w:rPr>
                <w:rFonts w:cs="Arial"/>
                <w:szCs w:val="22"/>
              </w:rPr>
            </w:pPr>
          </w:p>
        </w:tc>
        <w:tc>
          <w:tcPr>
            <w:tcW w:w="1275" w:type="dxa"/>
            <w:vAlign w:val="center"/>
          </w:tcPr>
          <w:p w14:paraId="654CD0C9" w14:textId="77777777" w:rsidR="005A011E" w:rsidRPr="007B3B90" w:rsidRDefault="005A011E" w:rsidP="00237319">
            <w:pPr>
              <w:jc w:val="center"/>
              <w:rPr>
                <w:rFonts w:cs="Arial"/>
                <w:szCs w:val="22"/>
              </w:rPr>
            </w:pPr>
          </w:p>
        </w:tc>
        <w:tc>
          <w:tcPr>
            <w:tcW w:w="1134" w:type="dxa"/>
            <w:vAlign w:val="center"/>
          </w:tcPr>
          <w:p w14:paraId="650C3AAA" w14:textId="398959F5" w:rsidR="005A011E" w:rsidRPr="007B3B90" w:rsidRDefault="005A011E" w:rsidP="00237319">
            <w:pPr>
              <w:jc w:val="center"/>
              <w:rPr>
                <w:rFonts w:cs="Arial"/>
                <w:szCs w:val="22"/>
              </w:rPr>
            </w:pPr>
          </w:p>
        </w:tc>
        <w:tc>
          <w:tcPr>
            <w:tcW w:w="1276" w:type="dxa"/>
            <w:vAlign w:val="center"/>
          </w:tcPr>
          <w:p w14:paraId="4DA1FB2C" w14:textId="1FC40850" w:rsidR="005A011E" w:rsidRPr="007B3B90" w:rsidRDefault="005A011E" w:rsidP="00237319">
            <w:pPr>
              <w:jc w:val="center"/>
              <w:rPr>
                <w:rFonts w:cs="Arial"/>
                <w:szCs w:val="22"/>
              </w:rPr>
            </w:pPr>
          </w:p>
        </w:tc>
        <w:tc>
          <w:tcPr>
            <w:tcW w:w="1277" w:type="dxa"/>
            <w:vAlign w:val="center"/>
          </w:tcPr>
          <w:p w14:paraId="6FE1E2A8" w14:textId="77777777" w:rsidR="005A011E" w:rsidRPr="007B3B90" w:rsidRDefault="005A011E" w:rsidP="00237319">
            <w:pPr>
              <w:jc w:val="center"/>
              <w:rPr>
                <w:rFonts w:cs="Arial"/>
                <w:szCs w:val="22"/>
              </w:rPr>
            </w:pPr>
          </w:p>
        </w:tc>
      </w:tr>
      <w:tr w:rsidR="005A011E" w:rsidRPr="007B3B90" w14:paraId="57140438" w14:textId="4AD53ABE" w:rsidTr="000372E8">
        <w:trPr>
          <w:trHeight w:hRule="exact" w:val="818"/>
        </w:trPr>
        <w:tc>
          <w:tcPr>
            <w:tcW w:w="2177" w:type="dxa"/>
            <w:shd w:val="clear" w:color="auto" w:fill="A5A5A5" w:themeFill="accent3"/>
            <w:vAlign w:val="center"/>
          </w:tcPr>
          <w:p w14:paraId="20E5291C" w14:textId="77777777" w:rsidR="005A011E" w:rsidRPr="007B3B90" w:rsidRDefault="005A011E" w:rsidP="001F4480">
            <w:pPr>
              <w:rPr>
                <w:rFonts w:cs="Arial"/>
                <w:b/>
                <w:bCs/>
                <w:szCs w:val="22"/>
              </w:rPr>
            </w:pPr>
            <w:r w:rsidRPr="007B3B90">
              <w:rPr>
                <w:rFonts w:cs="Arial"/>
                <w:b/>
                <w:bCs/>
                <w:szCs w:val="22"/>
              </w:rPr>
              <w:t>Procedural details</w:t>
            </w:r>
          </w:p>
        </w:tc>
        <w:tc>
          <w:tcPr>
            <w:tcW w:w="1252" w:type="dxa"/>
            <w:vAlign w:val="center"/>
          </w:tcPr>
          <w:p w14:paraId="1266D344" w14:textId="77777777" w:rsidR="005A011E" w:rsidRPr="007B3B90" w:rsidRDefault="005A011E" w:rsidP="00237319">
            <w:pPr>
              <w:jc w:val="center"/>
              <w:rPr>
                <w:rFonts w:cs="Arial"/>
                <w:szCs w:val="22"/>
              </w:rPr>
            </w:pPr>
          </w:p>
        </w:tc>
        <w:tc>
          <w:tcPr>
            <w:tcW w:w="1108" w:type="dxa"/>
            <w:vAlign w:val="center"/>
          </w:tcPr>
          <w:p w14:paraId="0DC3A51C" w14:textId="77777777" w:rsidR="005A011E" w:rsidRPr="007B3B90" w:rsidRDefault="005A011E" w:rsidP="00237319">
            <w:pPr>
              <w:jc w:val="center"/>
              <w:rPr>
                <w:rFonts w:cs="Arial"/>
                <w:szCs w:val="22"/>
              </w:rPr>
            </w:pPr>
            <w:r w:rsidRPr="007B3B90">
              <w:rPr>
                <w:rFonts w:cs="Arial"/>
                <w:szCs w:val="22"/>
              </w:rPr>
              <w:t>x</w:t>
            </w:r>
          </w:p>
        </w:tc>
        <w:tc>
          <w:tcPr>
            <w:tcW w:w="1275" w:type="dxa"/>
            <w:vAlign w:val="center"/>
          </w:tcPr>
          <w:p w14:paraId="4E79D8E0" w14:textId="77777777" w:rsidR="005A011E" w:rsidRPr="007B3B90" w:rsidRDefault="005A011E" w:rsidP="00237319">
            <w:pPr>
              <w:jc w:val="center"/>
              <w:rPr>
                <w:rFonts w:cs="Arial"/>
                <w:szCs w:val="22"/>
              </w:rPr>
            </w:pPr>
          </w:p>
        </w:tc>
        <w:tc>
          <w:tcPr>
            <w:tcW w:w="1134" w:type="dxa"/>
            <w:vAlign w:val="center"/>
          </w:tcPr>
          <w:p w14:paraId="4A9AE829" w14:textId="7BC84E89" w:rsidR="005A011E" w:rsidRPr="007B3B90" w:rsidRDefault="005A011E" w:rsidP="00237319">
            <w:pPr>
              <w:jc w:val="center"/>
              <w:rPr>
                <w:rFonts w:cs="Arial"/>
                <w:szCs w:val="22"/>
              </w:rPr>
            </w:pPr>
          </w:p>
        </w:tc>
        <w:tc>
          <w:tcPr>
            <w:tcW w:w="1276" w:type="dxa"/>
            <w:vAlign w:val="center"/>
          </w:tcPr>
          <w:p w14:paraId="4C1B86ED" w14:textId="2FC29A52" w:rsidR="005A011E" w:rsidRPr="007B3B90" w:rsidRDefault="005A011E" w:rsidP="00237319">
            <w:pPr>
              <w:jc w:val="center"/>
              <w:rPr>
                <w:rFonts w:cs="Arial"/>
                <w:szCs w:val="22"/>
              </w:rPr>
            </w:pPr>
          </w:p>
        </w:tc>
        <w:tc>
          <w:tcPr>
            <w:tcW w:w="1277" w:type="dxa"/>
            <w:vAlign w:val="center"/>
          </w:tcPr>
          <w:p w14:paraId="713B5E57" w14:textId="77777777" w:rsidR="005A011E" w:rsidRPr="007B3B90" w:rsidRDefault="005A011E" w:rsidP="00237319">
            <w:pPr>
              <w:jc w:val="center"/>
              <w:rPr>
                <w:rFonts w:cs="Arial"/>
                <w:szCs w:val="22"/>
              </w:rPr>
            </w:pPr>
          </w:p>
        </w:tc>
      </w:tr>
      <w:tr w:rsidR="005A011E" w:rsidRPr="007B3B90" w14:paraId="04C85130" w14:textId="0D9F2F36" w:rsidTr="000372E8">
        <w:trPr>
          <w:trHeight w:hRule="exact" w:val="1804"/>
        </w:trPr>
        <w:tc>
          <w:tcPr>
            <w:tcW w:w="2177" w:type="dxa"/>
            <w:shd w:val="clear" w:color="auto" w:fill="A5A5A5" w:themeFill="accent3"/>
            <w:vAlign w:val="center"/>
          </w:tcPr>
          <w:p w14:paraId="35F2B52E" w14:textId="77777777" w:rsidR="005A011E" w:rsidRPr="007B3B90" w:rsidRDefault="005A011E" w:rsidP="001F4480">
            <w:pPr>
              <w:rPr>
                <w:rFonts w:cs="Arial"/>
                <w:b/>
                <w:bCs/>
                <w:szCs w:val="22"/>
              </w:rPr>
            </w:pPr>
            <w:r w:rsidRPr="007B3B90">
              <w:rPr>
                <w:rFonts w:cs="Arial"/>
                <w:b/>
                <w:bCs/>
                <w:szCs w:val="22"/>
              </w:rPr>
              <w:t>Admission, in-hospital, and discharge details and cancellations</w:t>
            </w:r>
          </w:p>
        </w:tc>
        <w:tc>
          <w:tcPr>
            <w:tcW w:w="1252" w:type="dxa"/>
            <w:vAlign w:val="center"/>
          </w:tcPr>
          <w:p w14:paraId="3B1D8193" w14:textId="77777777" w:rsidR="005A011E" w:rsidRPr="007B3B90" w:rsidRDefault="005A011E" w:rsidP="00237319">
            <w:pPr>
              <w:jc w:val="center"/>
              <w:rPr>
                <w:rFonts w:cs="Arial"/>
                <w:szCs w:val="22"/>
              </w:rPr>
            </w:pPr>
          </w:p>
        </w:tc>
        <w:tc>
          <w:tcPr>
            <w:tcW w:w="1108" w:type="dxa"/>
            <w:vAlign w:val="center"/>
          </w:tcPr>
          <w:p w14:paraId="7600B266" w14:textId="77777777" w:rsidR="005A011E" w:rsidRPr="007B3B90" w:rsidRDefault="005A011E" w:rsidP="00237319">
            <w:pPr>
              <w:jc w:val="center"/>
              <w:rPr>
                <w:rFonts w:cs="Arial"/>
                <w:szCs w:val="22"/>
              </w:rPr>
            </w:pPr>
            <w:r w:rsidRPr="007B3B90">
              <w:rPr>
                <w:rFonts w:cs="Arial"/>
                <w:szCs w:val="22"/>
              </w:rPr>
              <w:t>x</w:t>
            </w:r>
          </w:p>
        </w:tc>
        <w:tc>
          <w:tcPr>
            <w:tcW w:w="1275" w:type="dxa"/>
            <w:vAlign w:val="center"/>
          </w:tcPr>
          <w:p w14:paraId="0E54D119" w14:textId="77777777" w:rsidR="005A011E" w:rsidRPr="007B3B90" w:rsidRDefault="005A011E" w:rsidP="00237319">
            <w:pPr>
              <w:jc w:val="center"/>
              <w:rPr>
                <w:rFonts w:cs="Arial"/>
                <w:szCs w:val="22"/>
              </w:rPr>
            </w:pPr>
          </w:p>
        </w:tc>
        <w:tc>
          <w:tcPr>
            <w:tcW w:w="1134" w:type="dxa"/>
            <w:vAlign w:val="center"/>
          </w:tcPr>
          <w:p w14:paraId="1FAA56D5" w14:textId="42353591" w:rsidR="005A011E" w:rsidRPr="007B3B90" w:rsidRDefault="005A011E" w:rsidP="00237319">
            <w:pPr>
              <w:jc w:val="center"/>
              <w:rPr>
                <w:rFonts w:cs="Arial"/>
                <w:szCs w:val="22"/>
              </w:rPr>
            </w:pPr>
          </w:p>
        </w:tc>
        <w:tc>
          <w:tcPr>
            <w:tcW w:w="1276" w:type="dxa"/>
            <w:vAlign w:val="center"/>
          </w:tcPr>
          <w:p w14:paraId="62F5A503" w14:textId="22BA7B57" w:rsidR="005A011E" w:rsidRPr="007B3B90" w:rsidRDefault="005A011E" w:rsidP="00237319">
            <w:pPr>
              <w:jc w:val="center"/>
              <w:rPr>
                <w:rFonts w:cs="Arial"/>
                <w:szCs w:val="22"/>
              </w:rPr>
            </w:pPr>
          </w:p>
        </w:tc>
        <w:tc>
          <w:tcPr>
            <w:tcW w:w="1277" w:type="dxa"/>
            <w:vAlign w:val="center"/>
          </w:tcPr>
          <w:p w14:paraId="2EE2EAFB" w14:textId="77777777" w:rsidR="005A011E" w:rsidRPr="007B3B90" w:rsidRDefault="005A011E" w:rsidP="00237319">
            <w:pPr>
              <w:jc w:val="center"/>
              <w:rPr>
                <w:rFonts w:cs="Arial"/>
                <w:szCs w:val="22"/>
              </w:rPr>
            </w:pPr>
          </w:p>
        </w:tc>
      </w:tr>
      <w:tr w:rsidR="005A011E" w:rsidRPr="007B3B90" w14:paraId="39DC1084" w14:textId="525D7A25" w:rsidTr="000372E8">
        <w:trPr>
          <w:trHeight w:hRule="exact" w:val="1415"/>
        </w:trPr>
        <w:tc>
          <w:tcPr>
            <w:tcW w:w="2177" w:type="dxa"/>
            <w:shd w:val="clear" w:color="auto" w:fill="A5A5A5" w:themeFill="accent3"/>
            <w:vAlign w:val="center"/>
          </w:tcPr>
          <w:p w14:paraId="13DF63E6" w14:textId="79E2993D" w:rsidR="005A011E" w:rsidRPr="007B3B90" w:rsidRDefault="005A011E" w:rsidP="001F4480">
            <w:pPr>
              <w:rPr>
                <w:rFonts w:cs="Arial"/>
                <w:b/>
                <w:bCs/>
                <w:szCs w:val="22"/>
              </w:rPr>
            </w:pPr>
            <w:r w:rsidRPr="007B3B90">
              <w:rPr>
                <w:rFonts w:cs="Arial"/>
                <w:b/>
                <w:bCs/>
                <w:szCs w:val="22"/>
              </w:rPr>
              <w:t>Details of routine surveillance imaging</w:t>
            </w:r>
          </w:p>
        </w:tc>
        <w:tc>
          <w:tcPr>
            <w:tcW w:w="1252" w:type="dxa"/>
            <w:vAlign w:val="center"/>
          </w:tcPr>
          <w:p w14:paraId="7C0830A3" w14:textId="77777777" w:rsidR="005A011E" w:rsidRPr="007B3B90" w:rsidRDefault="005A011E" w:rsidP="00237319">
            <w:pPr>
              <w:jc w:val="center"/>
              <w:rPr>
                <w:rFonts w:cs="Arial"/>
                <w:szCs w:val="22"/>
              </w:rPr>
            </w:pPr>
          </w:p>
        </w:tc>
        <w:tc>
          <w:tcPr>
            <w:tcW w:w="1108" w:type="dxa"/>
            <w:vAlign w:val="center"/>
          </w:tcPr>
          <w:p w14:paraId="613EE55C" w14:textId="77777777" w:rsidR="005A011E" w:rsidRPr="007B3B90" w:rsidRDefault="005A011E" w:rsidP="00237319">
            <w:pPr>
              <w:jc w:val="center"/>
              <w:rPr>
                <w:rFonts w:cs="Arial"/>
                <w:szCs w:val="22"/>
              </w:rPr>
            </w:pPr>
          </w:p>
        </w:tc>
        <w:tc>
          <w:tcPr>
            <w:tcW w:w="1275" w:type="dxa"/>
            <w:vAlign w:val="center"/>
          </w:tcPr>
          <w:p w14:paraId="40ED18B1" w14:textId="77777777" w:rsidR="005A011E" w:rsidRPr="007B3B90" w:rsidRDefault="005A011E" w:rsidP="00237319">
            <w:pPr>
              <w:jc w:val="center"/>
              <w:rPr>
                <w:rFonts w:cs="Arial"/>
                <w:szCs w:val="22"/>
              </w:rPr>
            </w:pPr>
          </w:p>
        </w:tc>
        <w:tc>
          <w:tcPr>
            <w:tcW w:w="1134" w:type="dxa"/>
            <w:vAlign w:val="center"/>
          </w:tcPr>
          <w:p w14:paraId="0CA81D2C" w14:textId="4DDA0B37" w:rsidR="005A011E" w:rsidRPr="007B3B90" w:rsidRDefault="005A011E" w:rsidP="00237319">
            <w:pPr>
              <w:jc w:val="center"/>
              <w:rPr>
                <w:rFonts w:cs="Arial"/>
                <w:szCs w:val="22"/>
              </w:rPr>
            </w:pPr>
            <w:r w:rsidRPr="007B3B90">
              <w:rPr>
                <w:rFonts w:cs="Arial"/>
                <w:szCs w:val="22"/>
              </w:rPr>
              <w:t>x</w:t>
            </w:r>
          </w:p>
        </w:tc>
        <w:tc>
          <w:tcPr>
            <w:tcW w:w="1276" w:type="dxa"/>
            <w:vAlign w:val="center"/>
          </w:tcPr>
          <w:p w14:paraId="7C829D5E" w14:textId="5AE5A808" w:rsidR="005A011E" w:rsidRPr="007B3B90" w:rsidRDefault="005A011E" w:rsidP="00237319">
            <w:pPr>
              <w:jc w:val="center"/>
              <w:rPr>
                <w:rFonts w:cs="Arial"/>
                <w:szCs w:val="22"/>
              </w:rPr>
            </w:pPr>
          </w:p>
        </w:tc>
        <w:tc>
          <w:tcPr>
            <w:tcW w:w="1277" w:type="dxa"/>
            <w:vAlign w:val="center"/>
          </w:tcPr>
          <w:p w14:paraId="6723CAE9" w14:textId="0EC88B1E" w:rsidR="005A011E" w:rsidRPr="007B3B90" w:rsidRDefault="005A011E" w:rsidP="00237319">
            <w:pPr>
              <w:jc w:val="center"/>
              <w:rPr>
                <w:rFonts w:cs="Arial"/>
                <w:szCs w:val="22"/>
              </w:rPr>
            </w:pPr>
            <w:r w:rsidRPr="007B3B90">
              <w:rPr>
                <w:rFonts w:cs="Arial"/>
                <w:szCs w:val="22"/>
              </w:rPr>
              <w:t>x</w:t>
            </w:r>
          </w:p>
        </w:tc>
      </w:tr>
      <w:tr w:rsidR="005A011E" w:rsidRPr="007B3B90" w14:paraId="4B6E5CFA" w14:textId="632C34F1" w:rsidTr="000372E8">
        <w:trPr>
          <w:trHeight w:hRule="exact" w:val="814"/>
        </w:trPr>
        <w:tc>
          <w:tcPr>
            <w:tcW w:w="2177" w:type="dxa"/>
            <w:shd w:val="clear" w:color="auto" w:fill="A5A5A5" w:themeFill="accent3"/>
            <w:vAlign w:val="center"/>
          </w:tcPr>
          <w:p w14:paraId="4A726B0C" w14:textId="77777777" w:rsidR="005A011E" w:rsidRPr="007B3B90" w:rsidRDefault="005A011E" w:rsidP="001F4480">
            <w:pPr>
              <w:rPr>
                <w:rFonts w:cs="Arial"/>
                <w:b/>
                <w:bCs/>
                <w:szCs w:val="22"/>
              </w:rPr>
            </w:pPr>
            <w:r w:rsidRPr="007B3B90">
              <w:rPr>
                <w:rFonts w:cs="Arial"/>
                <w:b/>
                <w:bCs/>
                <w:szCs w:val="22"/>
              </w:rPr>
              <w:t>Complications</w:t>
            </w:r>
          </w:p>
        </w:tc>
        <w:tc>
          <w:tcPr>
            <w:tcW w:w="1252" w:type="dxa"/>
            <w:vAlign w:val="center"/>
          </w:tcPr>
          <w:p w14:paraId="2281960F" w14:textId="77777777" w:rsidR="005A011E" w:rsidRPr="007B3B90" w:rsidRDefault="005A011E" w:rsidP="00237319">
            <w:pPr>
              <w:jc w:val="center"/>
              <w:rPr>
                <w:rFonts w:cs="Arial"/>
                <w:szCs w:val="22"/>
              </w:rPr>
            </w:pPr>
          </w:p>
        </w:tc>
        <w:tc>
          <w:tcPr>
            <w:tcW w:w="1108" w:type="dxa"/>
            <w:vAlign w:val="center"/>
          </w:tcPr>
          <w:p w14:paraId="60668A19" w14:textId="77777777" w:rsidR="005A011E" w:rsidRPr="007B3B90" w:rsidRDefault="005A011E" w:rsidP="00237319">
            <w:pPr>
              <w:jc w:val="center"/>
              <w:rPr>
                <w:rFonts w:cs="Arial"/>
                <w:szCs w:val="22"/>
              </w:rPr>
            </w:pPr>
            <w:r w:rsidRPr="007B3B90">
              <w:rPr>
                <w:rFonts w:cs="Arial"/>
                <w:szCs w:val="22"/>
              </w:rPr>
              <w:t>x</w:t>
            </w:r>
          </w:p>
        </w:tc>
        <w:tc>
          <w:tcPr>
            <w:tcW w:w="1275" w:type="dxa"/>
            <w:vAlign w:val="center"/>
          </w:tcPr>
          <w:p w14:paraId="1F07765F" w14:textId="25FFA7D6" w:rsidR="00237319" w:rsidRPr="007B3B90" w:rsidRDefault="00237319" w:rsidP="00237319">
            <w:pPr>
              <w:jc w:val="center"/>
              <w:rPr>
                <w:rFonts w:cs="Arial"/>
                <w:szCs w:val="22"/>
              </w:rPr>
            </w:pPr>
            <w:r>
              <w:rPr>
                <w:rFonts w:cs="Arial"/>
                <w:szCs w:val="22"/>
              </w:rPr>
              <w:t>x</w:t>
            </w:r>
          </w:p>
        </w:tc>
        <w:tc>
          <w:tcPr>
            <w:tcW w:w="1134" w:type="dxa"/>
            <w:vAlign w:val="center"/>
          </w:tcPr>
          <w:p w14:paraId="45E02B38" w14:textId="4E2C92C5" w:rsidR="005A011E" w:rsidRPr="007B3B90" w:rsidRDefault="005A011E" w:rsidP="00237319">
            <w:pPr>
              <w:jc w:val="center"/>
              <w:rPr>
                <w:rFonts w:cs="Arial"/>
                <w:szCs w:val="22"/>
              </w:rPr>
            </w:pPr>
            <w:r w:rsidRPr="007B3B90">
              <w:rPr>
                <w:rFonts w:cs="Arial"/>
                <w:szCs w:val="22"/>
              </w:rPr>
              <w:t>x</w:t>
            </w:r>
          </w:p>
        </w:tc>
        <w:tc>
          <w:tcPr>
            <w:tcW w:w="1276" w:type="dxa"/>
            <w:vAlign w:val="center"/>
          </w:tcPr>
          <w:p w14:paraId="0AA0872C" w14:textId="2A36F0DE" w:rsidR="005A011E" w:rsidRPr="007B3B90" w:rsidRDefault="005A011E" w:rsidP="00237319">
            <w:pPr>
              <w:jc w:val="center"/>
              <w:rPr>
                <w:rFonts w:cs="Arial"/>
                <w:szCs w:val="22"/>
              </w:rPr>
            </w:pPr>
            <w:r>
              <w:rPr>
                <w:rFonts w:cs="Arial"/>
                <w:szCs w:val="22"/>
              </w:rPr>
              <w:t>x</w:t>
            </w:r>
          </w:p>
        </w:tc>
        <w:tc>
          <w:tcPr>
            <w:tcW w:w="1277" w:type="dxa"/>
            <w:vAlign w:val="center"/>
          </w:tcPr>
          <w:p w14:paraId="31F7FBC3" w14:textId="45D3F376" w:rsidR="005A011E" w:rsidRPr="007B3B90" w:rsidRDefault="005A011E" w:rsidP="00237319">
            <w:pPr>
              <w:jc w:val="center"/>
              <w:rPr>
                <w:rFonts w:cs="Arial"/>
                <w:szCs w:val="22"/>
              </w:rPr>
            </w:pPr>
            <w:r w:rsidRPr="007B3B90">
              <w:rPr>
                <w:rFonts w:cs="Arial"/>
                <w:szCs w:val="22"/>
              </w:rPr>
              <w:t>x</w:t>
            </w:r>
          </w:p>
        </w:tc>
      </w:tr>
      <w:tr w:rsidR="005A011E" w:rsidRPr="007B3B90" w14:paraId="0CD9D77F" w14:textId="11822522" w:rsidTr="000372E8">
        <w:trPr>
          <w:trHeight w:hRule="exact" w:val="854"/>
        </w:trPr>
        <w:tc>
          <w:tcPr>
            <w:tcW w:w="2177" w:type="dxa"/>
            <w:shd w:val="clear" w:color="auto" w:fill="A5A5A5" w:themeFill="accent3"/>
            <w:vAlign w:val="center"/>
          </w:tcPr>
          <w:p w14:paraId="63F1D349" w14:textId="77777777" w:rsidR="005A011E" w:rsidRPr="007B3B90" w:rsidRDefault="005A011E" w:rsidP="001F4480">
            <w:pPr>
              <w:rPr>
                <w:rFonts w:cs="Arial"/>
                <w:b/>
                <w:bCs/>
                <w:szCs w:val="22"/>
              </w:rPr>
            </w:pPr>
            <w:r w:rsidRPr="007B3B90">
              <w:rPr>
                <w:rFonts w:cs="Arial"/>
                <w:b/>
                <w:bCs/>
                <w:szCs w:val="22"/>
              </w:rPr>
              <w:t>Reinterventions</w:t>
            </w:r>
          </w:p>
        </w:tc>
        <w:tc>
          <w:tcPr>
            <w:tcW w:w="1252" w:type="dxa"/>
            <w:vAlign w:val="center"/>
          </w:tcPr>
          <w:p w14:paraId="4F438A02" w14:textId="77777777" w:rsidR="005A011E" w:rsidRPr="007B3B90" w:rsidRDefault="005A011E" w:rsidP="00237319">
            <w:pPr>
              <w:jc w:val="center"/>
              <w:rPr>
                <w:rFonts w:cs="Arial"/>
                <w:szCs w:val="22"/>
              </w:rPr>
            </w:pPr>
          </w:p>
        </w:tc>
        <w:tc>
          <w:tcPr>
            <w:tcW w:w="1108" w:type="dxa"/>
            <w:vAlign w:val="center"/>
          </w:tcPr>
          <w:p w14:paraId="6D125D8B" w14:textId="77777777" w:rsidR="005A011E" w:rsidRPr="007B3B90" w:rsidRDefault="005A011E" w:rsidP="00237319">
            <w:pPr>
              <w:jc w:val="center"/>
              <w:rPr>
                <w:rFonts w:cs="Arial"/>
                <w:szCs w:val="22"/>
              </w:rPr>
            </w:pPr>
            <w:r w:rsidRPr="007B3B90">
              <w:rPr>
                <w:rFonts w:cs="Arial"/>
                <w:szCs w:val="22"/>
              </w:rPr>
              <w:t>x</w:t>
            </w:r>
          </w:p>
        </w:tc>
        <w:tc>
          <w:tcPr>
            <w:tcW w:w="1275" w:type="dxa"/>
            <w:vAlign w:val="center"/>
          </w:tcPr>
          <w:p w14:paraId="0C817F2F" w14:textId="6738D77B" w:rsidR="00237319" w:rsidRPr="007B3B90" w:rsidRDefault="00237319" w:rsidP="00237319">
            <w:pPr>
              <w:jc w:val="center"/>
              <w:rPr>
                <w:rFonts w:cs="Arial"/>
                <w:szCs w:val="22"/>
              </w:rPr>
            </w:pPr>
            <w:r>
              <w:rPr>
                <w:rFonts w:cs="Arial"/>
                <w:szCs w:val="22"/>
              </w:rPr>
              <w:t>x</w:t>
            </w:r>
          </w:p>
        </w:tc>
        <w:tc>
          <w:tcPr>
            <w:tcW w:w="1134" w:type="dxa"/>
            <w:vAlign w:val="center"/>
          </w:tcPr>
          <w:p w14:paraId="0EF56543" w14:textId="36F5BDDC" w:rsidR="005A011E" w:rsidRPr="007B3B90" w:rsidRDefault="005A011E" w:rsidP="00237319">
            <w:pPr>
              <w:jc w:val="center"/>
              <w:rPr>
                <w:rFonts w:cs="Arial"/>
                <w:szCs w:val="22"/>
              </w:rPr>
            </w:pPr>
            <w:r w:rsidRPr="007B3B90">
              <w:rPr>
                <w:rFonts w:cs="Arial"/>
                <w:szCs w:val="22"/>
              </w:rPr>
              <w:t>x</w:t>
            </w:r>
          </w:p>
        </w:tc>
        <w:tc>
          <w:tcPr>
            <w:tcW w:w="1276" w:type="dxa"/>
            <w:vAlign w:val="center"/>
          </w:tcPr>
          <w:p w14:paraId="168F270D" w14:textId="6979C921" w:rsidR="005A011E" w:rsidRPr="007B3B90" w:rsidRDefault="005A011E" w:rsidP="00237319">
            <w:pPr>
              <w:jc w:val="center"/>
              <w:rPr>
                <w:rFonts w:cs="Arial"/>
                <w:szCs w:val="22"/>
              </w:rPr>
            </w:pPr>
            <w:r>
              <w:rPr>
                <w:rFonts w:cs="Arial"/>
                <w:szCs w:val="22"/>
              </w:rPr>
              <w:t>x</w:t>
            </w:r>
          </w:p>
        </w:tc>
        <w:tc>
          <w:tcPr>
            <w:tcW w:w="1277" w:type="dxa"/>
            <w:vAlign w:val="center"/>
          </w:tcPr>
          <w:p w14:paraId="48D75328" w14:textId="6F2FE056" w:rsidR="005A011E" w:rsidRPr="007B3B90" w:rsidRDefault="005A011E" w:rsidP="00237319">
            <w:pPr>
              <w:jc w:val="center"/>
              <w:rPr>
                <w:rFonts w:cs="Arial"/>
                <w:szCs w:val="22"/>
              </w:rPr>
            </w:pPr>
            <w:r w:rsidRPr="007B3B90">
              <w:rPr>
                <w:rFonts w:cs="Arial"/>
                <w:szCs w:val="22"/>
              </w:rPr>
              <w:t>x</w:t>
            </w:r>
          </w:p>
        </w:tc>
      </w:tr>
      <w:tr w:rsidR="005A011E" w:rsidRPr="007B3B90" w14:paraId="0E4D984D" w14:textId="079DFC27" w:rsidTr="000372E8">
        <w:trPr>
          <w:trHeight w:hRule="exact" w:val="712"/>
        </w:trPr>
        <w:tc>
          <w:tcPr>
            <w:tcW w:w="2177" w:type="dxa"/>
            <w:shd w:val="clear" w:color="auto" w:fill="A5A5A5" w:themeFill="accent3"/>
            <w:vAlign w:val="center"/>
          </w:tcPr>
          <w:p w14:paraId="1C2CD857" w14:textId="77777777" w:rsidR="005A011E" w:rsidRPr="007B3B90" w:rsidRDefault="005A011E" w:rsidP="001F4480">
            <w:pPr>
              <w:rPr>
                <w:rFonts w:cs="Arial"/>
                <w:b/>
                <w:bCs/>
                <w:szCs w:val="22"/>
              </w:rPr>
            </w:pPr>
            <w:r w:rsidRPr="007B3B90">
              <w:rPr>
                <w:rFonts w:cs="Arial"/>
                <w:b/>
                <w:bCs/>
                <w:szCs w:val="22"/>
              </w:rPr>
              <w:t>Adverse events</w:t>
            </w:r>
          </w:p>
        </w:tc>
        <w:tc>
          <w:tcPr>
            <w:tcW w:w="1252" w:type="dxa"/>
            <w:vAlign w:val="center"/>
          </w:tcPr>
          <w:p w14:paraId="7F7433BB" w14:textId="77777777" w:rsidR="005A011E" w:rsidRPr="007B3B90" w:rsidRDefault="005A011E" w:rsidP="00237319">
            <w:pPr>
              <w:jc w:val="center"/>
              <w:rPr>
                <w:rFonts w:cs="Arial"/>
                <w:szCs w:val="22"/>
              </w:rPr>
            </w:pPr>
          </w:p>
        </w:tc>
        <w:tc>
          <w:tcPr>
            <w:tcW w:w="1108" w:type="dxa"/>
            <w:vAlign w:val="center"/>
          </w:tcPr>
          <w:p w14:paraId="27F17AA1" w14:textId="77777777" w:rsidR="005A011E" w:rsidRPr="007B3B90" w:rsidRDefault="005A011E" w:rsidP="00237319">
            <w:pPr>
              <w:jc w:val="center"/>
              <w:rPr>
                <w:rFonts w:cs="Arial"/>
                <w:szCs w:val="22"/>
              </w:rPr>
            </w:pPr>
            <w:r w:rsidRPr="007B3B90">
              <w:rPr>
                <w:rFonts w:cs="Arial"/>
                <w:szCs w:val="22"/>
              </w:rPr>
              <w:t>x</w:t>
            </w:r>
          </w:p>
        </w:tc>
        <w:tc>
          <w:tcPr>
            <w:tcW w:w="1275" w:type="dxa"/>
            <w:vAlign w:val="center"/>
          </w:tcPr>
          <w:p w14:paraId="775F9FAA" w14:textId="06BE3697" w:rsidR="00237319" w:rsidRPr="007B3B90" w:rsidRDefault="00237319" w:rsidP="00237319">
            <w:pPr>
              <w:jc w:val="center"/>
              <w:rPr>
                <w:rFonts w:cs="Arial"/>
                <w:szCs w:val="22"/>
              </w:rPr>
            </w:pPr>
            <w:r>
              <w:rPr>
                <w:rFonts w:cs="Arial"/>
                <w:szCs w:val="22"/>
              </w:rPr>
              <w:t>x</w:t>
            </w:r>
          </w:p>
        </w:tc>
        <w:tc>
          <w:tcPr>
            <w:tcW w:w="1134" w:type="dxa"/>
            <w:vAlign w:val="center"/>
          </w:tcPr>
          <w:p w14:paraId="1DDC095D" w14:textId="51EC755F" w:rsidR="005A011E" w:rsidRPr="007B3B90" w:rsidRDefault="005A011E" w:rsidP="00237319">
            <w:pPr>
              <w:jc w:val="center"/>
              <w:rPr>
                <w:rFonts w:cs="Arial"/>
                <w:szCs w:val="22"/>
              </w:rPr>
            </w:pPr>
            <w:r w:rsidRPr="007B3B90">
              <w:rPr>
                <w:rFonts w:cs="Arial"/>
                <w:szCs w:val="22"/>
              </w:rPr>
              <w:t>x</w:t>
            </w:r>
          </w:p>
        </w:tc>
        <w:tc>
          <w:tcPr>
            <w:tcW w:w="1276" w:type="dxa"/>
            <w:vAlign w:val="center"/>
          </w:tcPr>
          <w:p w14:paraId="050790E0" w14:textId="5EF2A442" w:rsidR="005A011E" w:rsidRPr="007B3B90" w:rsidRDefault="005A011E" w:rsidP="00237319">
            <w:pPr>
              <w:jc w:val="center"/>
              <w:rPr>
                <w:rFonts w:cs="Arial"/>
                <w:szCs w:val="22"/>
              </w:rPr>
            </w:pPr>
            <w:r>
              <w:rPr>
                <w:rFonts w:cs="Arial"/>
                <w:szCs w:val="22"/>
              </w:rPr>
              <w:t>x</w:t>
            </w:r>
          </w:p>
        </w:tc>
        <w:tc>
          <w:tcPr>
            <w:tcW w:w="1277" w:type="dxa"/>
            <w:vAlign w:val="center"/>
          </w:tcPr>
          <w:p w14:paraId="52DF16BE" w14:textId="1ABE47B8" w:rsidR="005A011E" w:rsidRPr="007B3B90" w:rsidRDefault="005A011E" w:rsidP="00237319">
            <w:pPr>
              <w:jc w:val="center"/>
              <w:rPr>
                <w:rFonts w:cs="Arial"/>
                <w:szCs w:val="22"/>
              </w:rPr>
            </w:pPr>
            <w:r w:rsidRPr="007B3B90">
              <w:rPr>
                <w:rFonts w:cs="Arial"/>
                <w:szCs w:val="22"/>
              </w:rPr>
              <w:t>x</w:t>
            </w:r>
          </w:p>
        </w:tc>
      </w:tr>
      <w:tr w:rsidR="005A011E" w:rsidRPr="007B3B90" w14:paraId="762A4AF6" w14:textId="5378682A" w:rsidTr="000372E8">
        <w:trPr>
          <w:trHeight w:hRule="exact" w:val="708"/>
        </w:trPr>
        <w:tc>
          <w:tcPr>
            <w:tcW w:w="2177" w:type="dxa"/>
            <w:shd w:val="clear" w:color="auto" w:fill="A5A5A5" w:themeFill="accent3"/>
            <w:vAlign w:val="center"/>
          </w:tcPr>
          <w:p w14:paraId="51D87AEB" w14:textId="77777777" w:rsidR="005A011E" w:rsidRPr="007B3B90" w:rsidRDefault="005A011E" w:rsidP="001F4480">
            <w:pPr>
              <w:rPr>
                <w:rFonts w:cs="Arial"/>
                <w:b/>
                <w:bCs/>
                <w:szCs w:val="22"/>
              </w:rPr>
            </w:pPr>
            <w:r w:rsidRPr="007B3B90">
              <w:rPr>
                <w:rFonts w:cs="Arial"/>
                <w:b/>
                <w:bCs/>
                <w:szCs w:val="22"/>
              </w:rPr>
              <w:t>Readmission</w:t>
            </w:r>
          </w:p>
        </w:tc>
        <w:tc>
          <w:tcPr>
            <w:tcW w:w="1252" w:type="dxa"/>
            <w:vAlign w:val="center"/>
          </w:tcPr>
          <w:p w14:paraId="78F06501" w14:textId="77777777" w:rsidR="005A011E" w:rsidRPr="007B3B90" w:rsidRDefault="005A011E" w:rsidP="00237319">
            <w:pPr>
              <w:jc w:val="center"/>
              <w:rPr>
                <w:rFonts w:cs="Arial"/>
                <w:szCs w:val="22"/>
              </w:rPr>
            </w:pPr>
          </w:p>
        </w:tc>
        <w:tc>
          <w:tcPr>
            <w:tcW w:w="1108" w:type="dxa"/>
            <w:vAlign w:val="center"/>
          </w:tcPr>
          <w:p w14:paraId="395FDD30" w14:textId="77777777" w:rsidR="005A011E" w:rsidRPr="007B3B90" w:rsidRDefault="005A011E" w:rsidP="00237319">
            <w:pPr>
              <w:jc w:val="center"/>
              <w:rPr>
                <w:rFonts w:cs="Arial"/>
                <w:szCs w:val="22"/>
              </w:rPr>
            </w:pPr>
          </w:p>
        </w:tc>
        <w:tc>
          <w:tcPr>
            <w:tcW w:w="1275" w:type="dxa"/>
            <w:vAlign w:val="center"/>
          </w:tcPr>
          <w:p w14:paraId="6187E106" w14:textId="3CBAEA8D" w:rsidR="00237319" w:rsidRPr="007B3B90" w:rsidRDefault="00237319" w:rsidP="00237319">
            <w:pPr>
              <w:jc w:val="center"/>
              <w:rPr>
                <w:rFonts w:cs="Arial"/>
                <w:szCs w:val="22"/>
              </w:rPr>
            </w:pPr>
            <w:r>
              <w:rPr>
                <w:rFonts w:cs="Arial"/>
                <w:szCs w:val="22"/>
              </w:rPr>
              <w:t>x</w:t>
            </w:r>
          </w:p>
        </w:tc>
        <w:tc>
          <w:tcPr>
            <w:tcW w:w="1134" w:type="dxa"/>
            <w:vAlign w:val="center"/>
          </w:tcPr>
          <w:p w14:paraId="1D10A044" w14:textId="3E9126BC" w:rsidR="005A011E" w:rsidRPr="007B3B90" w:rsidRDefault="005A011E" w:rsidP="00237319">
            <w:pPr>
              <w:jc w:val="center"/>
              <w:rPr>
                <w:rFonts w:cs="Arial"/>
                <w:szCs w:val="22"/>
              </w:rPr>
            </w:pPr>
            <w:r w:rsidRPr="007B3B90">
              <w:rPr>
                <w:rFonts w:cs="Arial"/>
                <w:szCs w:val="22"/>
              </w:rPr>
              <w:t>x</w:t>
            </w:r>
          </w:p>
        </w:tc>
        <w:tc>
          <w:tcPr>
            <w:tcW w:w="1276" w:type="dxa"/>
            <w:vAlign w:val="center"/>
          </w:tcPr>
          <w:p w14:paraId="51A65C28" w14:textId="03CF3F66" w:rsidR="005A011E" w:rsidRPr="007B3B90" w:rsidRDefault="005A011E" w:rsidP="00237319">
            <w:pPr>
              <w:jc w:val="center"/>
              <w:rPr>
                <w:rFonts w:cs="Arial"/>
                <w:szCs w:val="22"/>
              </w:rPr>
            </w:pPr>
            <w:r>
              <w:rPr>
                <w:rFonts w:cs="Arial"/>
                <w:szCs w:val="22"/>
              </w:rPr>
              <w:t>x</w:t>
            </w:r>
          </w:p>
        </w:tc>
        <w:tc>
          <w:tcPr>
            <w:tcW w:w="1277" w:type="dxa"/>
            <w:vAlign w:val="center"/>
          </w:tcPr>
          <w:p w14:paraId="4D40F7BC" w14:textId="5AE5B843" w:rsidR="005A011E" w:rsidRPr="007B3B90" w:rsidRDefault="005A011E" w:rsidP="00237319">
            <w:pPr>
              <w:jc w:val="center"/>
              <w:rPr>
                <w:rFonts w:cs="Arial"/>
                <w:szCs w:val="22"/>
              </w:rPr>
            </w:pPr>
            <w:r w:rsidRPr="007B3B90">
              <w:rPr>
                <w:rFonts w:cs="Arial"/>
                <w:szCs w:val="22"/>
              </w:rPr>
              <w:t>x</w:t>
            </w:r>
          </w:p>
        </w:tc>
      </w:tr>
      <w:tr w:rsidR="005A011E" w:rsidRPr="007B3B90" w14:paraId="046F6AB1" w14:textId="506CD764" w:rsidTr="000372E8">
        <w:trPr>
          <w:trHeight w:hRule="exact" w:val="688"/>
        </w:trPr>
        <w:tc>
          <w:tcPr>
            <w:tcW w:w="2177" w:type="dxa"/>
            <w:shd w:val="clear" w:color="auto" w:fill="A5A5A5" w:themeFill="accent3"/>
            <w:vAlign w:val="center"/>
          </w:tcPr>
          <w:p w14:paraId="4F8AB6CD" w14:textId="77777777" w:rsidR="005A011E" w:rsidRPr="007B3B90" w:rsidRDefault="005A011E" w:rsidP="001F4480">
            <w:pPr>
              <w:rPr>
                <w:rFonts w:cs="Arial"/>
                <w:b/>
                <w:bCs/>
                <w:szCs w:val="22"/>
              </w:rPr>
            </w:pPr>
            <w:r w:rsidRPr="007B3B90">
              <w:rPr>
                <w:rFonts w:cs="Arial"/>
                <w:b/>
                <w:bCs/>
                <w:szCs w:val="22"/>
              </w:rPr>
              <w:t>Health resource use</w:t>
            </w:r>
          </w:p>
        </w:tc>
        <w:tc>
          <w:tcPr>
            <w:tcW w:w="1252" w:type="dxa"/>
            <w:vAlign w:val="center"/>
          </w:tcPr>
          <w:p w14:paraId="1793C4FF" w14:textId="17C5F938" w:rsidR="005A011E" w:rsidRPr="007B3B90" w:rsidRDefault="005A011E" w:rsidP="00237319">
            <w:pPr>
              <w:jc w:val="center"/>
              <w:rPr>
                <w:rFonts w:cs="Arial"/>
                <w:szCs w:val="22"/>
              </w:rPr>
            </w:pPr>
          </w:p>
        </w:tc>
        <w:tc>
          <w:tcPr>
            <w:tcW w:w="1108" w:type="dxa"/>
            <w:vAlign w:val="center"/>
          </w:tcPr>
          <w:p w14:paraId="1AF91B0B" w14:textId="2BC3454F" w:rsidR="005A011E" w:rsidRPr="007B3B90" w:rsidRDefault="00035D35" w:rsidP="00237319">
            <w:pPr>
              <w:jc w:val="center"/>
              <w:rPr>
                <w:rFonts w:cs="Arial"/>
                <w:szCs w:val="22"/>
              </w:rPr>
            </w:pPr>
            <w:r>
              <w:rPr>
                <w:rFonts w:cs="Arial"/>
                <w:szCs w:val="22"/>
              </w:rPr>
              <w:t>x</w:t>
            </w:r>
          </w:p>
        </w:tc>
        <w:tc>
          <w:tcPr>
            <w:tcW w:w="1275" w:type="dxa"/>
            <w:vAlign w:val="center"/>
          </w:tcPr>
          <w:p w14:paraId="388347BD" w14:textId="4E12ADAF" w:rsidR="005A011E" w:rsidRPr="007B3B90" w:rsidRDefault="00CC2634" w:rsidP="00237319">
            <w:pPr>
              <w:jc w:val="center"/>
              <w:rPr>
                <w:rFonts w:cs="Arial"/>
                <w:szCs w:val="22"/>
              </w:rPr>
            </w:pPr>
            <w:r>
              <w:rPr>
                <w:rFonts w:cs="Arial"/>
                <w:szCs w:val="22"/>
              </w:rPr>
              <w:t>x</w:t>
            </w:r>
          </w:p>
        </w:tc>
        <w:tc>
          <w:tcPr>
            <w:tcW w:w="1134" w:type="dxa"/>
            <w:vAlign w:val="center"/>
          </w:tcPr>
          <w:p w14:paraId="4E04A520" w14:textId="0FAE9B2A" w:rsidR="005A011E" w:rsidRPr="007B3B90" w:rsidRDefault="005A011E" w:rsidP="00237319">
            <w:pPr>
              <w:jc w:val="center"/>
              <w:rPr>
                <w:rFonts w:cs="Arial"/>
                <w:szCs w:val="22"/>
              </w:rPr>
            </w:pPr>
            <w:r w:rsidRPr="007B3B90">
              <w:rPr>
                <w:rFonts w:cs="Arial"/>
                <w:szCs w:val="22"/>
              </w:rPr>
              <w:t>x</w:t>
            </w:r>
          </w:p>
        </w:tc>
        <w:tc>
          <w:tcPr>
            <w:tcW w:w="1276" w:type="dxa"/>
            <w:vAlign w:val="center"/>
          </w:tcPr>
          <w:p w14:paraId="5B31113E" w14:textId="0C96A171" w:rsidR="005A011E" w:rsidRPr="007B3B90" w:rsidRDefault="005A011E" w:rsidP="00237319">
            <w:pPr>
              <w:jc w:val="center"/>
              <w:rPr>
                <w:rFonts w:cs="Arial"/>
                <w:szCs w:val="22"/>
              </w:rPr>
            </w:pPr>
            <w:r>
              <w:rPr>
                <w:rFonts w:cs="Arial"/>
                <w:szCs w:val="22"/>
              </w:rPr>
              <w:t>x</w:t>
            </w:r>
          </w:p>
        </w:tc>
        <w:tc>
          <w:tcPr>
            <w:tcW w:w="1277" w:type="dxa"/>
            <w:vAlign w:val="center"/>
          </w:tcPr>
          <w:p w14:paraId="7A8FE6F9" w14:textId="3AD03DF2" w:rsidR="005A011E" w:rsidRPr="007B3B90" w:rsidRDefault="005A011E" w:rsidP="00237319">
            <w:pPr>
              <w:jc w:val="center"/>
              <w:rPr>
                <w:rFonts w:cs="Arial"/>
                <w:szCs w:val="22"/>
              </w:rPr>
            </w:pPr>
          </w:p>
        </w:tc>
      </w:tr>
      <w:tr w:rsidR="005A011E" w:rsidRPr="007B3B90" w14:paraId="77F1C81D" w14:textId="77777777" w:rsidTr="009145A7">
        <w:trPr>
          <w:trHeight w:hRule="exact" w:val="567"/>
        </w:trPr>
        <w:tc>
          <w:tcPr>
            <w:tcW w:w="9499" w:type="dxa"/>
            <w:gridSpan w:val="7"/>
            <w:shd w:val="clear" w:color="auto" w:fill="A5A5A5" w:themeFill="accent3"/>
            <w:vAlign w:val="center"/>
          </w:tcPr>
          <w:p w14:paraId="3B0A1BAA" w14:textId="303A4677" w:rsidR="005A011E" w:rsidRDefault="00237319" w:rsidP="00237319">
            <w:pPr>
              <w:spacing w:line="276" w:lineRule="auto"/>
              <w:rPr>
                <w:rFonts w:cs="Arial"/>
                <w:b/>
                <w:bCs/>
                <w:szCs w:val="22"/>
              </w:rPr>
            </w:pPr>
            <w:r>
              <w:rPr>
                <w:rFonts w:cs="Arial"/>
                <w:b/>
                <w:bCs/>
                <w:szCs w:val="22"/>
              </w:rPr>
              <w:t>PROMS</w:t>
            </w:r>
          </w:p>
        </w:tc>
      </w:tr>
      <w:tr w:rsidR="005A011E" w:rsidRPr="007B3B90" w14:paraId="70159E9E" w14:textId="77777777" w:rsidTr="000372E8">
        <w:trPr>
          <w:trHeight w:hRule="exact" w:val="567"/>
        </w:trPr>
        <w:tc>
          <w:tcPr>
            <w:tcW w:w="2177" w:type="dxa"/>
            <w:shd w:val="clear" w:color="auto" w:fill="D0CECE" w:themeFill="background2" w:themeFillShade="E6"/>
            <w:vAlign w:val="center"/>
          </w:tcPr>
          <w:p w14:paraId="0FEB9265" w14:textId="77777777" w:rsidR="005A011E" w:rsidRPr="007B3B90" w:rsidRDefault="005A011E" w:rsidP="001F4480">
            <w:pPr>
              <w:rPr>
                <w:rFonts w:cs="Arial"/>
                <w:b/>
                <w:bCs/>
                <w:szCs w:val="22"/>
              </w:rPr>
            </w:pPr>
            <w:r w:rsidRPr="007B3B90">
              <w:rPr>
                <w:rFonts w:cs="Arial"/>
                <w:b/>
                <w:bCs/>
                <w:szCs w:val="22"/>
              </w:rPr>
              <w:t>EQ-5D-5L</w:t>
            </w:r>
          </w:p>
        </w:tc>
        <w:tc>
          <w:tcPr>
            <w:tcW w:w="1252" w:type="dxa"/>
            <w:vAlign w:val="center"/>
          </w:tcPr>
          <w:p w14:paraId="5B5BF944" w14:textId="77777777" w:rsidR="005A011E" w:rsidRPr="007B3B90" w:rsidRDefault="005A011E" w:rsidP="00764589">
            <w:pPr>
              <w:jc w:val="center"/>
              <w:rPr>
                <w:rFonts w:cs="Arial"/>
                <w:szCs w:val="22"/>
              </w:rPr>
            </w:pPr>
            <w:r w:rsidRPr="007B3B90">
              <w:rPr>
                <w:rFonts w:cs="Arial"/>
                <w:szCs w:val="22"/>
              </w:rPr>
              <w:t>x</w:t>
            </w:r>
          </w:p>
        </w:tc>
        <w:tc>
          <w:tcPr>
            <w:tcW w:w="1108" w:type="dxa"/>
            <w:vAlign w:val="center"/>
          </w:tcPr>
          <w:p w14:paraId="727697F7" w14:textId="77777777" w:rsidR="005A011E" w:rsidRPr="007B3B90" w:rsidRDefault="005A011E" w:rsidP="001F4480">
            <w:pPr>
              <w:jc w:val="center"/>
              <w:rPr>
                <w:rFonts w:cs="Arial"/>
                <w:szCs w:val="22"/>
              </w:rPr>
            </w:pPr>
          </w:p>
        </w:tc>
        <w:tc>
          <w:tcPr>
            <w:tcW w:w="1275" w:type="dxa"/>
          </w:tcPr>
          <w:p w14:paraId="6F8977D4" w14:textId="77777777" w:rsidR="005A011E" w:rsidRPr="007B3B90" w:rsidRDefault="005A011E" w:rsidP="001F4480">
            <w:pPr>
              <w:jc w:val="center"/>
              <w:rPr>
                <w:rFonts w:cs="Arial"/>
                <w:szCs w:val="22"/>
              </w:rPr>
            </w:pPr>
          </w:p>
        </w:tc>
        <w:tc>
          <w:tcPr>
            <w:tcW w:w="1134" w:type="dxa"/>
            <w:vAlign w:val="center"/>
          </w:tcPr>
          <w:p w14:paraId="4AB0DF02" w14:textId="06CC87FC" w:rsidR="005A011E" w:rsidRPr="007B3B90" w:rsidRDefault="005A011E" w:rsidP="001F4480">
            <w:pPr>
              <w:jc w:val="center"/>
              <w:rPr>
                <w:rFonts w:cs="Arial"/>
                <w:szCs w:val="22"/>
              </w:rPr>
            </w:pPr>
          </w:p>
        </w:tc>
        <w:tc>
          <w:tcPr>
            <w:tcW w:w="1276" w:type="dxa"/>
            <w:vAlign w:val="center"/>
          </w:tcPr>
          <w:p w14:paraId="7E68285D" w14:textId="5FFC7C82" w:rsidR="005A011E" w:rsidRPr="007B3B90" w:rsidRDefault="005A011E" w:rsidP="001F4480">
            <w:pPr>
              <w:jc w:val="center"/>
              <w:rPr>
                <w:rFonts w:cs="Arial"/>
                <w:szCs w:val="22"/>
              </w:rPr>
            </w:pPr>
            <w:r>
              <w:rPr>
                <w:rFonts w:cs="Arial"/>
                <w:szCs w:val="22"/>
              </w:rPr>
              <w:t>x</w:t>
            </w:r>
          </w:p>
        </w:tc>
        <w:tc>
          <w:tcPr>
            <w:tcW w:w="1277" w:type="dxa"/>
          </w:tcPr>
          <w:p w14:paraId="7CE1736A" w14:textId="77777777" w:rsidR="005A011E" w:rsidRPr="007B3B90" w:rsidRDefault="005A011E" w:rsidP="001F4480">
            <w:pPr>
              <w:jc w:val="center"/>
              <w:rPr>
                <w:rFonts w:cs="Arial"/>
                <w:szCs w:val="22"/>
              </w:rPr>
            </w:pPr>
          </w:p>
        </w:tc>
      </w:tr>
      <w:tr w:rsidR="005A011E" w:rsidRPr="007B3B90" w14:paraId="1A814DC8" w14:textId="77777777" w:rsidTr="009145A7">
        <w:trPr>
          <w:trHeight w:hRule="exact" w:val="567"/>
        </w:trPr>
        <w:tc>
          <w:tcPr>
            <w:tcW w:w="2177" w:type="dxa"/>
            <w:shd w:val="clear" w:color="auto" w:fill="D0CECE" w:themeFill="background2" w:themeFillShade="E6"/>
            <w:vAlign w:val="center"/>
          </w:tcPr>
          <w:p w14:paraId="08731002" w14:textId="77777777" w:rsidR="005A011E" w:rsidRPr="007B3B90" w:rsidRDefault="005A011E" w:rsidP="001F4480">
            <w:pPr>
              <w:rPr>
                <w:rFonts w:cs="Arial"/>
                <w:b/>
                <w:bCs/>
                <w:szCs w:val="22"/>
              </w:rPr>
            </w:pPr>
            <w:r w:rsidRPr="007B3B90">
              <w:rPr>
                <w:rFonts w:cs="Arial"/>
                <w:b/>
                <w:bCs/>
                <w:szCs w:val="22"/>
              </w:rPr>
              <w:lastRenderedPageBreak/>
              <w:t>Well-being Questionnaire</w:t>
            </w:r>
          </w:p>
        </w:tc>
        <w:tc>
          <w:tcPr>
            <w:tcW w:w="1252" w:type="dxa"/>
            <w:vAlign w:val="center"/>
          </w:tcPr>
          <w:p w14:paraId="4139D2E6" w14:textId="77777777" w:rsidR="005A011E" w:rsidRPr="007B3B90" w:rsidRDefault="005A011E" w:rsidP="00764589">
            <w:pPr>
              <w:jc w:val="center"/>
              <w:rPr>
                <w:rFonts w:cs="Arial"/>
                <w:szCs w:val="22"/>
              </w:rPr>
            </w:pPr>
            <w:r w:rsidRPr="007B3B90">
              <w:rPr>
                <w:rFonts w:cs="Arial"/>
                <w:szCs w:val="22"/>
              </w:rPr>
              <w:t>x</w:t>
            </w:r>
          </w:p>
        </w:tc>
        <w:tc>
          <w:tcPr>
            <w:tcW w:w="1108" w:type="dxa"/>
            <w:vAlign w:val="center"/>
          </w:tcPr>
          <w:p w14:paraId="625CA7E8" w14:textId="77777777" w:rsidR="005A011E" w:rsidRPr="007B3B90" w:rsidRDefault="005A011E" w:rsidP="001F4480">
            <w:pPr>
              <w:jc w:val="center"/>
              <w:rPr>
                <w:rFonts w:cs="Arial"/>
                <w:szCs w:val="22"/>
              </w:rPr>
            </w:pPr>
          </w:p>
        </w:tc>
        <w:tc>
          <w:tcPr>
            <w:tcW w:w="1275" w:type="dxa"/>
            <w:vAlign w:val="center"/>
          </w:tcPr>
          <w:p w14:paraId="2DC24958" w14:textId="19A12D41" w:rsidR="005A011E" w:rsidRDefault="009145A7" w:rsidP="009145A7">
            <w:pPr>
              <w:jc w:val="center"/>
              <w:rPr>
                <w:rFonts w:cs="Arial"/>
                <w:szCs w:val="22"/>
              </w:rPr>
            </w:pPr>
            <w:r>
              <w:rPr>
                <w:rFonts w:cs="Arial"/>
                <w:szCs w:val="22"/>
              </w:rPr>
              <w:t>x</w:t>
            </w:r>
          </w:p>
        </w:tc>
        <w:tc>
          <w:tcPr>
            <w:tcW w:w="1134" w:type="dxa"/>
            <w:vAlign w:val="center"/>
          </w:tcPr>
          <w:p w14:paraId="17A24DC5" w14:textId="23DE99E2" w:rsidR="005A011E" w:rsidRPr="007B3B90" w:rsidRDefault="005A011E" w:rsidP="001F4480">
            <w:pPr>
              <w:jc w:val="center"/>
              <w:rPr>
                <w:rFonts w:cs="Arial"/>
                <w:szCs w:val="22"/>
              </w:rPr>
            </w:pPr>
            <w:r>
              <w:rPr>
                <w:rFonts w:cs="Arial"/>
                <w:szCs w:val="22"/>
              </w:rPr>
              <w:t>x</w:t>
            </w:r>
          </w:p>
        </w:tc>
        <w:tc>
          <w:tcPr>
            <w:tcW w:w="1276" w:type="dxa"/>
            <w:vAlign w:val="center"/>
          </w:tcPr>
          <w:p w14:paraId="488E33EA" w14:textId="5AB75096" w:rsidR="005A011E" w:rsidRPr="007B3B90" w:rsidRDefault="005A011E" w:rsidP="001F4480">
            <w:pPr>
              <w:jc w:val="center"/>
              <w:rPr>
                <w:rFonts w:cs="Arial"/>
                <w:szCs w:val="22"/>
              </w:rPr>
            </w:pPr>
            <w:r>
              <w:rPr>
                <w:rFonts w:cs="Arial"/>
                <w:szCs w:val="22"/>
              </w:rPr>
              <w:t>x</w:t>
            </w:r>
          </w:p>
        </w:tc>
        <w:tc>
          <w:tcPr>
            <w:tcW w:w="1277" w:type="dxa"/>
          </w:tcPr>
          <w:p w14:paraId="126A7E70" w14:textId="77777777" w:rsidR="005A011E" w:rsidRPr="007B3B90" w:rsidRDefault="005A011E" w:rsidP="001F4480">
            <w:pPr>
              <w:jc w:val="center"/>
              <w:rPr>
                <w:rFonts w:cs="Arial"/>
                <w:szCs w:val="22"/>
              </w:rPr>
            </w:pPr>
          </w:p>
        </w:tc>
      </w:tr>
      <w:tr w:rsidR="005A011E" w:rsidRPr="007B3B90" w14:paraId="26856A2B" w14:textId="77777777" w:rsidTr="000372E8">
        <w:trPr>
          <w:trHeight w:hRule="exact" w:val="818"/>
        </w:trPr>
        <w:tc>
          <w:tcPr>
            <w:tcW w:w="2177" w:type="dxa"/>
            <w:shd w:val="clear" w:color="auto" w:fill="D0CECE" w:themeFill="background2" w:themeFillShade="E6"/>
            <w:vAlign w:val="center"/>
          </w:tcPr>
          <w:p w14:paraId="0001F382" w14:textId="77777777" w:rsidR="005A011E" w:rsidRPr="007B3B90" w:rsidRDefault="005A011E" w:rsidP="001F4480">
            <w:pPr>
              <w:rPr>
                <w:rFonts w:cs="Arial"/>
                <w:b/>
                <w:bCs/>
                <w:szCs w:val="22"/>
              </w:rPr>
            </w:pPr>
            <w:proofErr w:type="spellStart"/>
            <w:r w:rsidRPr="007B3B90">
              <w:rPr>
                <w:rFonts w:cs="Arial"/>
                <w:b/>
                <w:bCs/>
                <w:szCs w:val="22"/>
              </w:rPr>
              <w:t>AneurysmTSQ</w:t>
            </w:r>
            <w:proofErr w:type="spellEnd"/>
          </w:p>
        </w:tc>
        <w:tc>
          <w:tcPr>
            <w:tcW w:w="1252" w:type="dxa"/>
            <w:vAlign w:val="center"/>
          </w:tcPr>
          <w:p w14:paraId="65E760DF" w14:textId="42302EC0" w:rsidR="005A011E" w:rsidRPr="007B3B90" w:rsidRDefault="005A011E" w:rsidP="00764589">
            <w:pPr>
              <w:jc w:val="center"/>
              <w:rPr>
                <w:rFonts w:cs="Arial"/>
                <w:szCs w:val="22"/>
              </w:rPr>
            </w:pPr>
            <w:r>
              <w:rPr>
                <w:rFonts w:cs="Arial"/>
                <w:szCs w:val="22"/>
              </w:rPr>
              <w:t>x</w:t>
            </w:r>
          </w:p>
        </w:tc>
        <w:tc>
          <w:tcPr>
            <w:tcW w:w="1108" w:type="dxa"/>
            <w:vAlign w:val="center"/>
          </w:tcPr>
          <w:p w14:paraId="787C3003" w14:textId="77777777" w:rsidR="005A011E" w:rsidRPr="007B3B90" w:rsidRDefault="005A011E" w:rsidP="001F4480">
            <w:pPr>
              <w:jc w:val="center"/>
              <w:rPr>
                <w:rFonts w:cs="Arial"/>
                <w:szCs w:val="22"/>
              </w:rPr>
            </w:pPr>
          </w:p>
        </w:tc>
        <w:tc>
          <w:tcPr>
            <w:tcW w:w="1275" w:type="dxa"/>
          </w:tcPr>
          <w:p w14:paraId="038669B3" w14:textId="77777777" w:rsidR="005A011E" w:rsidRPr="007B3B90" w:rsidRDefault="005A011E" w:rsidP="001F4480">
            <w:pPr>
              <w:jc w:val="center"/>
              <w:rPr>
                <w:rFonts w:cs="Arial"/>
                <w:szCs w:val="22"/>
              </w:rPr>
            </w:pPr>
          </w:p>
        </w:tc>
        <w:tc>
          <w:tcPr>
            <w:tcW w:w="1134" w:type="dxa"/>
            <w:vAlign w:val="center"/>
          </w:tcPr>
          <w:p w14:paraId="4F4AEB75" w14:textId="0F2E6FDF" w:rsidR="005A011E" w:rsidRPr="007B3B90" w:rsidRDefault="005A011E" w:rsidP="001F4480">
            <w:pPr>
              <w:jc w:val="center"/>
              <w:rPr>
                <w:rFonts w:cs="Arial"/>
                <w:szCs w:val="22"/>
              </w:rPr>
            </w:pPr>
            <w:r w:rsidRPr="007B3B90">
              <w:rPr>
                <w:rFonts w:cs="Arial"/>
                <w:szCs w:val="22"/>
              </w:rPr>
              <w:t>x</w:t>
            </w:r>
          </w:p>
        </w:tc>
        <w:tc>
          <w:tcPr>
            <w:tcW w:w="1276" w:type="dxa"/>
            <w:vAlign w:val="center"/>
          </w:tcPr>
          <w:p w14:paraId="0837D7D3" w14:textId="5A289C10" w:rsidR="005A011E" w:rsidRPr="007B3B90" w:rsidRDefault="005A011E" w:rsidP="001F4480">
            <w:pPr>
              <w:jc w:val="center"/>
              <w:rPr>
                <w:rFonts w:cs="Arial"/>
                <w:szCs w:val="22"/>
              </w:rPr>
            </w:pPr>
            <w:r>
              <w:rPr>
                <w:rFonts w:cs="Arial"/>
                <w:szCs w:val="22"/>
              </w:rPr>
              <w:t>x</w:t>
            </w:r>
          </w:p>
        </w:tc>
        <w:tc>
          <w:tcPr>
            <w:tcW w:w="1277" w:type="dxa"/>
          </w:tcPr>
          <w:p w14:paraId="615F77D7" w14:textId="77777777" w:rsidR="005A011E" w:rsidRPr="007B3B90" w:rsidRDefault="005A011E" w:rsidP="001F4480">
            <w:pPr>
              <w:jc w:val="center"/>
              <w:rPr>
                <w:rFonts w:cs="Arial"/>
                <w:szCs w:val="22"/>
              </w:rPr>
            </w:pPr>
          </w:p>
        </w:tc>
      </w:tr>
    </w:tbl>
    <w:p w14:paraId="57F3CBFD" w14:textId="77777777" w:rsidR="00663512" w:rsidRPr="007B3B90" w:rsidRDefault="00663512" w:rsidP="00663512"/>
    <w:p w14:paraId="3EE597E2" w14:textId="77777777" w:rsidR="00663512" w:rsidRPr="007B3B90" w:rsidRDefault="00663512" w:rsidP="00663512">
      <w:pPr>
        <w:ind w:left="720"/>
        <w:rPr>
          <w:b/>
        </w:rPr>
      </w:pPr>
    </w:p>
    <w:p w14:paraId="654FC33A" w14:textId="603238BD" w:rsidR="00AC0BE3" w:rsidRPr="007B3B90" w:rsidRDefault="00AC0BE3">
      <w:pPr>
        <w:rPr>
          <w:b/>
          <w:sz w:val="22"/>
          <w:szCs w:val="22"/>
        </w:rPr>
      </w:pPr>
    </w:p>
    <w:p w14:paraId="238FC2C1" w14:textId="4C60BAB2" w:rsidR="00211B13" w:rsidRPr="007B3B90" w:rsidRDefault="009145A7" w:rsidP="00211B13">
      <w:pPr>
        <w:rPr>
          <w:b/>
          <w:bCs/>
          <w:sz w:val="22"/>
          <w:szCs w:val="22"/>
        </w:rPr>
      </w:pPr>
      <w:r>
        <w:rPr>
          <w:b/>
          <w:sz w:val="22"/>
          <w:szCs w:val="22"/>
        </w:rPr>
        <w:t xml:space="preserve">   </w:t>
      </w:r>
    </w:p>
    <w:p w14:paraId="6CABDBD2" w14:textId="3F36D2BC" w:rsidR="00211B13" w:rsidRPr="007B3B90" w:rsidRDefault="00211B13" w:rsidP="00211B13">
      <w:pPr>
        <w:rPr>
          <w:u w:val="single"/>
        </w:rPr>
      </w:pPr>
    </w:p>
    <w:p w14:paraId="1B1E0D11" w14:textId="6DDAC519" w:rsidR="00B06DBF" w:rsidRPr="007B3B90" w:rsidRDefault="00B06DBF" w:rsidP="00211B13">
      <w:pPr>
        <w:rPr>
          <w:b/>
          <w:sz w:val="22"/>
          <w:szCs w:val="22"/>
        </w:rPr>
      </w:pPr>
    </w:p>
    <w:p w14:paraId="1DDFDBC1" w14:textId="7FC269CC" w:rsidR="00DA07C7" w:rsidRDefault="00DA07C7">
      <w:pPr>
        <w:rPr>
          <w:sz w:val="22"/>
          <w:szCs w:val="22"/>
        </w:rPr>
      </w:pPr>
      <w:r>
        <w:rPr>
          <w:sz w:val="22"/>
          <w:szCs w:val="22"/>
        </w:rPr>
        <w:br w:type="page"/>
      </w:r>
    </w:p>
    <w:p w14:paraId="0104DB6A" w14:textId="0FB64270" w:rsidR="00C8160F" w:rsidRPr="007B3B90" w:rsidRDefault="00CC2F0C" w:rsidP="00CC2F0C">
      <w:pPr>
        <w:tabs>
          <w:tab w:val="left" w:pos="9639"/>
          <w:tab w:val="left" w:pos="9781"/>
          <w:tab w:val="left" w:pos="10065"/>
        </w:tabs>
        <w:ind w:right="301"/>
        <w:jc w:val="both"/>
        <w:rPr>
          <w:rFonts w:cs="Arial"/>
        </w:rPr>
      </w:pPr>
      <w:r w:rsidRPr="007B3B90">
        <w:rPr>
          <w:rFonts w:cs="Arial"/>
        </w:rPr>
        <w:lastRenderedPageBreak/>
        <w:t>Appendix 3:</w:t>
      </w:r>
      <w:r w:rsidR="00C8160F" w:rsidRPr="007B3B90">
        <w:rPr>
          <w:rFonts w:cs="Arial"/>
        </w:rPr>
        <w:t xml:space="preserve"> American College of Cardiology Cardiac Risk Classification</w:t>
      </w:r>
    </w:p>
    <w:p w14:paraId="32622F53" w14:textId="77777777" w:rsidR="00C8160F" w:rsidRPr="007B3B90" w:rsidRDefault="00C8160F" w:rsidP="00C8160F">
      <w:pPr>
        <w:tabs>
          <w:tab w:val="left" w:pos="9639"/>
          <w:tab w:val="left" w:pos="9781"/>
          <w:tab w:val="left" w:pos="10065"/>
        </w:tabs>
        <w:ind w:right="301"/>
        <w:jc w:val="both"/>
        <w:rPr>
          <w:rFonts w:cs="Arial"/>
        </w:rPr>
      </w:pPr>
    </w:p>
    <w:tbl>
      <w:tblPr>
        <w:tblW w:w="10343" w:type="dxa"/>
        <w:tblInd w:w="-709" w:type="dxa"/>
        <w:tblBorders>
          <w:top w:val="single" w:sz="12" w:space="0" w:color="808080"/>
          <w:bottom w:val="single" w:sz="12" w:space="0" w:color="808080"/>
        </w:tblBorders>
        <w:tblLayout w:type="fixed"/>
        <w:tblLook w:val="00A0" w:firstRow="1" w:lastRow="0" w:firstColumn="1" w:lastColumn="0" w:noHBand="0" w:noVBand="0"/>
      </w:tblPr>
      <w:tblGrid>
        <w:gridCol w:w="10343"/>
      </w:tblGrid>
      <w:tr w:rsidR="00C8160F" w:rsidRPr="007B3B90" w14:paraId="502AC325" w14:textId="77777777" w:rsidTr="00764589">
        <w:trPr>
          <w:trHeight w:val="475"/>
        </w:trPr>
        <w:tc>
          <w:tcPr>
            <w:tcW w:w="10343" w:type="dxa"/>
            <w:tcBorders>
              <w:top w:val="single" w:sz="4" w:space="0" w:color="auto"/>
              <w:left w:val="single" w:sz="4" w:space="0" w:color="auto"/>
              <w:bottom w:val="single" w:sz="12" w:space="0" w:color="808080"/>
              <w:right w:val="single" w:sz="4" w:space="0" w:color="auto"/>
            </w:tcBorders>
            <w:shd w:val="clear" w:color="auto" w:fill="999999"/>
            <w:vAlign w:val="center"/>
          </w:tcPr>
          <w:p w14:paraId="7BBE575F" w14:textId="77777777" w:rsidR="00C8160F" w:rsidRPr="007B3B90" w:rsidRDefault="00C8160F" w:rsidP="00764589">
            <w:pPr>
              <w:widowControl w:val="0"/>
              <w:tabs>
                <w:tab w:val="left" w:pos="9639"/>
                <w:tab w:val="left" w:pos="9781"/>
                <w:tab w:val="left" w:pos="10065"/>
              </w:tabs>
              <w:autoSpaceDE w:val="0"/>
              <w:autoSpaceDN w:val="0"/>
              <w:adjustRightInd w:val="0"/>
              <w:ind w:left="567" w:right="301"/>
              <w:jc w:val="center"/>
              <w:rPr>
                <w:rFonts w:cs="Arial"/>
                <w:b/>
                <w:bCs/>
              </w:rPr>
            </w:pPr>
            <w:r w:rsidRPr="007B3B90">
              <w:rPr>
                <w:rFonts w:cs="Arial"/>
                <w:b/>
                <w:bCs/>
              </w:rPr>
              <w:t>Clinical Predictors of Increased Perioperative Cardiovascular Risk</w:t>
            </w:r>
          </w:p>
        </w:tc>
      </w:tr>
      <w:tr w:rsidR="00C8160F" w:rsidRPr="007B3B90" w14:paraId="2EC6CB61" w14:textId="77777777" w:rsidTr="00764589">
        <w:trPr>
          <w:trHeight w:val="235"/>
        </w:trPr>
        <w:tc>
          <w:tcPr>
            <w:tcW w:w="10343" w:type="dxa"/>
            <w:tcBorders>
              <w:left w:val="single" w:sz="4" w:space="0" w:color="auto"/>
              <w:right w:val="single" w:sz="4" w:space="0" w:color="auto"/>
            </w:tcBorders>
            <w:shd w:val="clear" w:color="auto" w:fill="F2F2F2" w:themeFill="background1" w:themeFillShade="F2"/>
          </w:tcPr>
          <w:p w14:paraId="138D4CC5" w14:textId="77777777" w:rsidR="00C8160F" w:rsidRPr="007B3B90" w:rsidRDefault="00C8160F" w:rsidP="00764589">
            <w:pPr>
              <w:widowControl w:val="0"/>
              <w:tabs>
                <w:tab w:val="left" w:pos="9639"/>
                <w:tab w:val="left" w:pos="9781"/>
                <w:tab w:val="left" w:pos="10065"/>
              </w:tabs>
              <w:autoSpaceDE w:val="0"/>
              <w:autoSpaceDN w:val="0"/>
              <w:adjustRightInd w:val="0"/>
              <w:ind w:right="301"/>
              <w:rPr>
                <w:rFonts w:cs="Arial"/>
                <w:b/>
                <w:bCs/>
                <w:sz w:val="28"/>
                <w:szCs w:val="28"/>
              </w:rPr>
            </w:pPr>
            <w:r w:rsidRPr="007B3B90">
              <w:rPr>
                <w:rFonts w:cs="Arial"/>
                <w:b/>
                <w:bCs/>
                <w:sz w:val="28"/>
                <w:szCs w:val="28"/>
              </w:rPr>
              <w:t xml:space="preserve">MAJOR RISK </w:t>
            </w:r>
          </w:p>
        </w:tc>
      </w:tr>
      <w:tr w:rsidR="00C8160F" w:rsidRPr="007B3B90" w14:paraId="73F4959D" w14:textId="77777777" w:rsidTr="00764589">
        <w:trPr>
          <w:trHeight w:val="235"/>
        </w:trPr>
        <w:tc>
          <w:tcPr>
            <w:tcW w:w="10343" w:type="dxa"/>
            <w:tcBorders>
              <w:top w:val="single" w:sz="4" w:space="0" w:color="auto"/>
              <w:left w:val="single" w:sz="4" w:space="0" w:color="auto"/>
              <w:bottom w:val="single" w:sz="4" w:space="0" w:color="auto"/>
              <w:right w:val="single" w:sz="4" w:space="0" w:color="auto"/>
            </w:tcBorders>
            <w:shd w:val="clear" w:color="auto" w:fill="auto"/>
          </w:tcPr>
          <w:p w14:paraId="1B75095B" w14:textId="77777777" w:rsidR="00C8160F" w:rsidRPr="007B3B90" w:rsidRDefault="00C8160F" w:rsidP="00764589">
            <w:pPr>
              <w:widowControl w:val="0"/>
              <w:tabs>
                <w:tab w:val="left" w:pos="9639"/>
                <w:tab w:val="left" w:pos="9781"/>
                <w:tab w:val="left" w:pos="10065"/>
              </w:tabs>
              <w:autoSpaceDE w:val="0"/>
              <w:autoSpaceDN w:val="0"/>
              <w:adjustRightInd w:val="0"/>
              <w:ind w:right="301" w:firstLine="593"/>
              <w:rPr>
                <w:rFonts w:cs="Arial"/>
              </w:rPr>
            </w:pPr>
            <w:r w:rsidRPr="007B3B90">
              <w:rPr>
                <w:rFonts w:cs="Arial"/>
              </w:rPr>
              <w:t xml:space="preserve"> UNSTABLE CORONARY SYNDROMES </w:t>
            </w:r>
          </w:p>
        </w:tc>
      </w:tr>
      <w:tr w:rsidR="00C8160F" w:rsidRPr="007B3B90" w14:paraId="28332328" w14:textId="77777777" w:rsidTr="00764589">
        <w:trPr>
          <w:trHeight w:val="235"/>
        </w:trPr>
        <w:tc>
          <w:tcPr>
            <w:tcW w:w="10343" w:type="dxa"/>
            <w:tcBorders>
              <w:left w:val="single" w:sz="4" w:space="0" w:color="auto"/>
              <w:right w:val="single" w:sz="4" w:space="0" w:color="auto"/>
            </w:tcBorders>
            <w:shd w:val="clear" w:color="auto" w:fill="FFFFFF" w:themeFill="background1"/>
          </w:tcPr>
          <w:p w14:paraId="091C92A9" w14:textId="77777777" w:rsidR="00C8160F" w:rsidRPr="007B3B90" w:rsidRDefault="00C8160F" w:rsidP="00764589">
            <w:pPr>
              <w:pStyle w:val="ListParagraph"/>
              <w:widowControl w:val="0"/>
              <w:numPr>
                <w:ilvl w:val="0"/>
                <w:numId w:val="19"/>
              </w:numPr>
              <w:tabs>
                <w:tab w:val="left" w:pos="220"/>
                <w:tab w:val="left" w:pos="720"/>
                <w:tab w:val="left" w:pos="9639"/>
                <w:tab w:val="left" w:pos="9781"/>
                <w:tab w:val="left" w:pos="10065"/>
              </w:tabs>
              <w:autoSpaceDE w:val="0"/>
              <w:autoSpaceDN w:val="0"/>
              <w:adjustRightInd w:val="0"/>
              <w:ind w:left="1440" w:right="301"/>
              <w:rPr>
                <w:rFonts w:cs="Arial"/>
              </w:rPr>
            </w:pPr>
            <w:r w:rsidRPr="007B3B90">
              <w:rPr>
                <w:rFonts w:cs="Arial"/>
              </w:rPr>
              <w:t>Acute or recent MI with evidence of important ischemic risk by clinical symptoms or non-invasive study</w:t>
            </w:r>
          </w:p>
        </w:tc>
      </w:tr>
      <w:tr w:rsidR="00C8160F" w:rsidRPr="007B3B90" w14:paraId="25DF5C4A" w14:textId="77777777" w:rsidTr="00764589">
        <w:trPr>
          <w:trHeight w:val="235"/>
        </w:trPr>
        <w:tc>
          <w:tcPr>
            <w:tcW w:w="10343" w:type="dxa"/>
            <w:tcBorders>
              <w:left w:val="single" w:sz="4" w:space="0" w:color="auto"/>
              <w:right w:val="single" w:sz="4" w:space="0" w:color="auto"/>
            </w:tcBorders>
            <w:shd w:val="clear" w:color="auto" w:fill="FFFFFF" w:themeFill="background1"/>
          </w:tcPr>
          <w:p w14:paraId="4CD86D21" w14:textId="77777777" w:rsidR="00C8160F" w:rsidRPr="007B3B90" w:rsidRDefault="00C8160F" w:rsidP="00764589">
            <w:pPr>
              <w:pStyle w:val="ListParagraph"/>
              <w:widowControl w:val="0"/>
              <w:numPr>
                <w:ilvl w:val="0"/>
                <w:numId w:val="19"/>
              </w:numPr>
              <w:tabs>
                <w:tab w:val="left" w:pos="220"/>
                <w:tab w:val="left" w:pos="720"/>
                <w:tab w:val="left" w:pos="9639"/>
                <w:tab w:val="left" w:pos="9781"/>
                <w:tab w:val="left" w:pos="10065"/>
              </w:tabs>
              <w:autoSpaceDE w:val="0"/>
              <w:autoSpaceDN w:val="0"/>
              <w:adjustRightInd w:val="0"/>
              <w:ind w:left="1440" w:right="301"/>
              <w:rPr>
                <w:rFonts w:cs="Arial"/>
              </w:rPr>
            </w:pPr>
            <w:r w:rsidRPr="007B3B90">
              <w:rPr>
                <w:rFonts w:cs="Arial"/>
              </w:rPr>
              <w:t>Unstable or severe angina (Canadian Class III or IV)</w:t>
            </w:r>
          </w:p>
        </w:tc>
      </w:tr>
      <w:tr w:rsidR="00C8160F" w:rsidRPr="007B3B90" w14:paraId="427C13CB" w14:textId="77777777" w:rsidTr="00764589">
        <w:trPr>
          <w:trHeight w:val="235"/>
        </w:trPr>
        <w:tc>
          <w:tcPr>
            <w:tcW w:w="10343" w:type="dxa"/>
            <w:tcBorders>
              <w:left w:val="single" w:sz="4" w:space="0" w:color="auto"/>
              <w:right w:val="single" w:sz="4" w:space="0" w:color="auto"/>
            </w:tcBorders>
            <w:shd w:val="clear" w:color="auto" w:fill="FFFFFF" w:themeFill="background1"/>
          </w:tcPr>
          <w:p w14:paraId="04E4396F" w14:textId="77777777" w:rsidR="00C8160F" w:rsidRPr="007B3B90" w:rsidRDefault="00C8160F" w:rsidP="00764589">
            <w:pPr>
              <w:pStyle w:val="ListParagraph"/>
              <w:widowControl w:val="0"/>
              <w:numPr>
                <w:ilvl w:val="0"/>
                <w:numId w:val="19"/>
              </w:numPr>
              <w:tabs>
                <w:tab w:val="left" w:pos="9639"/>
                <w:tab w:val="left" w:pos="9781"/>
                <w:tab w:val="left" w:pos="10065"/>
              </w:tabs>
              <w:autoSpaceDE w:val="0"/>
              <w:autoSpaceDN w:val="0"/>
              <w:adjustRightInd w:val="0"/>
              <w:ind w:left="1440" w:right="301"/>
              <w:rPr>
                <w:rFonts w:cs="Arial"/>
              </w:rPr>
            </w:pPr>
            <w:r w:rsidRPr="007B3B90">
              <w:rPr>
                <w:rFonts w:cs="Arial"/>
              </w:rPr>
              <w:t>Decompensated CHF</w:t>
            </w:r>
          </w:p>
        </w:tc>
      </w:tr>
      <w:tr w:rsidR="00C8160F" w:rsidRPr="007B3B90" w14:paraId="5E2703B5" w14:textId="77777777" w:rsidTr="00764589">
        <w:trPr>
          <w:trHeight w:val="235"/>
        </w:trPr>
        <w:tc>
          <w:tcPr>
            <w:tcW w:w="10343" w:type="dxa"/>
            <w:tcBorders>
              <w:top w:val="single" w:sz="4" w:space="0" w:color="auto"/>
              <w:left w:val="single" w:sz="4" w:space="0" w:color="auto"/>
              <w:bottom w:val="single" w:sz="4" w:space="0" w:color="auto"/>
              <w:right w:val="single" w:sz="4" w:space="0" w:color="auto"/>
            </w:tcBorders>
            <w:shd w:val="clear" w:color="auto" w:fill="FFFFFF" w:themeFill="background1"/>
          </w:tcPr>
          <w:p w14:paraId="2D101CA0" w14:textId="77777777" w:rsidR="00C8160F" w:rsidRPr="007B3B90" w:rsidRDefault="00C8160F" w:rsidP="00764589">
            <w:pPr>
              <w:widowControl w:val="0"/>
              <w:tabs>
                <w:tab w:val="left" w:pos="9639"/>
                <w:tab w:val="left" w:pos="9781"/>
                <w:tab w:val="left" w:pos="10065"/>
              </w:tabs>
              <w:autoSpaceDE w:val="0"/>
              <w:autoSpaceDN w:val="0"/>
              <w:adjustRightInd w:val="0"/>
              <w:ind w:left="1160" w:right="301" w:hanging="425"/>
              <w:rPr>
                <w:rFonts w:cs="Arial"/>
              </w:rPr>
            </w:pPr>
            <w:r w:rsidRPr="007B3B90">
              <w:rPr>
                <w:rFonts w:cs="Arial"/>
              </w:rPr>
              <w:t>SIGNIFICANT ARRHYTHMIAS</w:t>
            </w:r>
          </w:p>
        </w:tc>
      </w:tr>
      <w:tr w:rsidR="00C8160F" w:rsidRPr="007B3B90" w14:paraId="63768F57" w14:textId="77777777" w:rsidTr="00764589">
        <w:trPr>
          <w:trHeight w:val="235"/>
        </w:trPr>
        <w:tc>
          <w:tcPr>
            <w:tcW w:w="10343" w:type="dxa"/>
            <w:tcBorders>
              <w:left w:val="single" w:sz="4" w:space="0" w:color="auto"/>
              <w:right w:val="single" w:sz="4" w:space="0" w:color="auto"/>
            </w:tcBorders>
          </w:tcPr>
          <w:p w14:paraId="19C631F0" w14:textId="77777777" w:rsidR="00C8160F" w:rsidRPr="007B3B90" w:rsidRDefault="00C8160F" w:rsidP="00764589">
            <w:pPr>
              <w:pStyle w:val="ListParagraph"/>
              <w:widowControl w:val="0"/>
              <w:numPr>
                <w:ilvl w:val="0"/>
                <w:numId w:val="20"/>
              </w:numPr>
              <w:tabs>
                <w:tab w:val="left" w:pos="220"/>
                <w:tab w:val="left" w:pos="720"/>
                <w:tab w:val="left" w:pos="9639"/>
                <w:tab w:val="left" w:pos="9781"/>
                <w:tab w:val="left" w:pos="10065"/>
              </w:tabs>
              <w:autoSpaceDE w:val="0"/>
              <w:autoSpaceDN w:val="0"/>
              <w:adjustRightInd w:val="0"/>
              <w:ind w:left="1440" w:right="301"/>
              <w:rPr>
                <w:rFonts w:cs="Arial"/>
              </w:rPr>
            </w:pPr>
            <w:r w:rsidRPr="007B3B90">
              <w:rPr>
                <w:rFonts w:cs="Arial"/>
              </w:rPr>
              <w:t>High-grade atrioventricular block</w:t>
            </w:r>
          </w:p>
        </w:tc>
      </w:tr>
      <w:tr w:rsidR="00C8160F" w:rsidRPr="007B3B90" w14:paraId="1CF1B8CD" w14:textId="77777777" w:rsidTr="00764589">
        <w:trPr>
          <w:trHeight w:val="235"/>
        </w:trPr>
        <w:tc>
          <w:tcPr>
            <w:tcW w:w="10343" w:type="dxa"/>
            <w:tcBorders>
              <w:left w:val="single" w:sz="4" w:space="0" w:color="auto"/>
              <w:right w:val="single" w:sz="4" w:space="0" w:color="auto"/>
            </w:tcBorders>
          </w:tcPr>
          <w:p w14:paraId="5665DD90" w14:textId="77777777" w:rsidR="00C8160F" w:rsidRPr="007B3B90" w:rsidRDefault="00C8160F" w:rsidP="00764589">
            <w:pPr>
              <w:pStyle w:val="ListParagraph"/>
              <w:widowControl w:val="0"/>
              <w:numPr>
                <w:ilvl w:val="0"/>
                <w:numId w:val="20"/>
              </w:numPr>
              <w:tabs>
                <w:tab w:val="left" w:pos="220"/>
                <w:tab w:val="left" w:pos="720"/>
                <w:tab w:val="left" w:pos="9639"/>
                <w:tab w:val="left" w:pos="9781"/>
                <w:tab w:val="left" w:pos="10065"/>
              </w:tabs>
              <w:autoSpaceDE w:val="0"/>
              <w:autoSpaceDN w:val="0"/>
              <w:adjustRightInd w:val="0"/>
              <w:ind w:left="1440" w:right="301"/>
              <w:rPr>
                <w:rFonts w:cs="Arial"/>
              </w:rPr>
            </w:pPr>
            <w:r w:rsidRPr="007B3B90">
              <w:rPr>
                <w:rFonts w:cs="Arial"/>
              </w:rPr>
              <w:t>Symptomatic ventricular arrhythmias in the presence of underlying heart disease</w:t>
            </w:r>
          </w:p>
        </w:tc>
      </w:tr>
      <w:tr w:rsidR="00C8160F" w:rsidRPr="007B3B90" w14:paraId="66FB3F16" w14:textId="77777777" w:rsidTr="00764589">
        <w:trPr>
          <w:trHeight w:val="235"/>
        </w:trPr>
        <w:tc>
          <w:tcPr>
            <w:tcW w:w="10343" w:type="dxa"/>
            <w:tcBorders>
              <w:left w:val="single" w:sz="4" w:space="0" w:color="auto"/>
              <w:right w:val="single" w:sz="4" w:space="0" w:color="auto"/>
            </w:tcBorders>
          </w:tcPr>
          <w:p w14:paraId="004B6200" w14:textId="77777777" w:rsidR="00C8160F" w:rsidRPr="007B3B90" w:rsidRDefault="00C8160F" w:rsidP="00764589">
            <w:pPr>
              <w:pStyle w:val="ListParagraph"/>
              <w:widowControl w:val="0"/>
              <w:numPr>
                <w:ilvl w:val="0"/>
                <w:numId w:val="20"/>
              </w:numPr>
              <w:tabs>
                <w:tab w:val="left" w:pos="220"/>
                <w:tab w:val="left" w:pos="720"/>
                <w:tab w:val="left" w:pos="9639"/>
                <w:tab w:val="left" w:pos="9781"/>
                <w:tab w:val="left" w:pos="10065"/>
              </w:tabs>
              <w:autoSpaceDE w:val="0"/>
              <w:autoSpaceDN w:val="0"/>
              <w:adjustRightInd w:val="0"/>
              <w:ind w:left="1440" w:right="301"/>
              <w:rPr>
                <w:rFonts w:cs="Arial"/>
              </w:rPr>
            </w:pPr>
            <w:r w:rsidRPr="007B3B90">
              <w:rPr>
                <w:rFonts w:cs="Arial"/>
              </w:rPr>
              <w:t>Supraventricular arrhythmias with uncontrolled ventricular rate</w:t>
            </w:r>
          </w:p>
        </w:tc>
      </w:tr>
      <w:tr w:rsidR="00C8160F" w:rsidRPr="007B3B90" w14:paraId="348E170B" w14:textId="77777777" w:rsidTr="00764589">
        <w:trPr>
          <w:trHeight w:val="235"/>
        </w:trPr>
        <w:tc>
          <w:tcPr>
            <w:tcW w:w="10343" w:type="dxa"/>
            <w:tcBorders>
              <w:top w:val="single" w:sz="4" w:space="0" w:color="auto"/>
              <w:left w:val="single" w:sz="4" w:space="0" w:color="auto"/>
              <w:bottom w:val="single" w:sz="4" w:space="0" w:color="auto"/>
              <w:right w:val="single" w:sz="4" w:space="0" w:color="auto"/>
            </w:tcBorders>
            <w:shd w:val="clear" w:color="auto" w:fill="auto"/>
          </w:tcPr>
          <w:p w14:paraId="4FB02BD3" w14:textId="77777777" w:rsidR="00C8160F" w:rsidRPr="007B3B90" w:rsidRDefault="00C8160F" w:rsidP="00764589">
            <w:pPr>
              <w:widowControl w:val="0"/>
              <w:tabs>
                <w:tab w:val="left" w:pos="9639"/>
                <w:tab w:val="left" w:pos="9781"/>
                <w:tab w:val="left" w:pos="10065"/>
              </w:tabs>
              <w:autoSpaceDE w:val="0"/>
              <w:autoSpaceDN w:val="0"/>
              <w:adjustRightInd w:val="0"/>
              <w:ind w:left="1880" w:right="301" w:hanging="1160"/>
              <w:rPr>
                <w:rFonts w:cs="Arial"/>
              </w:rPr>
            </w:pPr>
            <w:r w:rsidRPr="007B3B90">
              <w:rPr>
                <w:rFonts w:cs="Arial"/>
              </w:rPr>
              <w:t xml:space="preserve">SEVERE VALVULAR DISEASE </w:t>
            </w:r>
          </w:p>
        </w:tc>
      </w:tr>
      <w:tr w:rsidR="00C8160F" w:rsidRPr="007B3B90" w14:paraId="68188975" w14:textId="77777777" w:rsidTr="00764589">
        <w:trPr>
          <w:trHeight w:val="235"/>
        </w:trPr>
        <w:tc>
          <w:tcPr>
            <w:tcW w:w="10343" w:type="dxa"/>
            <w:tcBorders>
              <w:left w:val="single" w:sz="4" w:space="0" w:color="auto"/>
              <w:right w:val="single" w:sz="4" w:space="0" w:color="auto"/>
            </w:tcBorders>
            <w:shd w:val="clear" w:color="auto" w:fill="F2F2F2" w:themeFill="background1" w:themeFillShade="F2"/>
          </w:tcPr>
          <w:p w14:paraId="4A16CF39" w14:textId="77777777" w:rsidR="00C8160F" w:rsidRPr="007B3B90" w:rsidRDefault="00C8160F" w:rsidP="00764589">
            <w:pPr>
              <w:widowControl w:val="0"/>
              <w:tabs>
                <w:tab w:val="left" w:pos="9639"/>
                <w:tab w:val="left" w:pos="9781"/>
                <w:tab w:val="left" w:pos="10065"/>
              </w:tabs>
              <w:autoSpaceDE w:val="0"/>
              <w:autoSpaceDN w:val="0"/>
              <w:adjustRightInd w:val="0"/>
              <w:ind w:right="301"/>
              <w:rPr>
                <w:rFonts w:cs="Arial"/>
                <w:b/>
                <w:bCs/>
                <w:sz w:val="28"/>
                <w:szCs w:val="28"/>
              </w:rPr>
            </w:pPr>
            <w:r w:rsidRPr="007B3B90">
              <w:rPr>
                <w:rFonts w:cs="Arial"/>
                <w:b/>
                <w:bCs/>
                <w:sz w:val="28"/>
                <w:szCs w:val="28"/>
              </w:rPr>
              <w:t>INTERMEDIATE  RISK</w:t>
            </w:r>
          </w:p>
        </w:tc>
      </w:tr>
      <w:tr w:rsidR="00C8160F" w:rsidRPr="007B3B90" w14:paraId="0AC4225B" w14:textId="77777777" w:rsidTr="00764589">
        <w:trPr>
          <w:trHeight w:val="235"/>
        </w:trPr>
        <w:tc>
          <w:tcPr>
            <w:tcW w:w="10343" w:type="dxa"/>
            <w:tcBorders>
              <w:top w:val="single" w:sz="4" w:space="0" w:color="auto"/>
              <w:left w:val="single" w:sz="4" w:space="0" w:color="auto"/>
              <w:bottom w:val="single" w:sz="4" w:space="0" w:color="auto"/>
              <w:right w:val="single" w:sz="4" w:space="0" w:color="auto"/>
            </w:tcBorders>
            <w:shd w:val="clear" w:color="auto" w:fill="auto"/>
          </w:tcPr>
          <w:p w14:paraId="105E3FD9" w14:textId="77777777" w:rsidR="00C8160F" w:rsidRPr="007B3B90" w:rsidRDefault="00C8160F" w:rsidP="00764589">
            <w:pPr>
              <w:widowControl w:val="0"/>
              <w:tabs>
                <w:tab w:val="left" w:pos="9639"/>
                <w:tab w:val="left" w:pos="9781"/>
                <w:tab w:val="left" w:pos="10065"/>
              </w:tabs>
              <w:autoSpaceDE w:val="0"/>
              <w:autoSpaceDN w:val="0"/>
              <w:adjustRightInd w:val="0"/>
              <w:ind w:right="301" w:firstLine="750"/>
              <w:rPr>
                <w:rFonts w:cs="Arial"/>
              </w:rPr>
            </w:pPr>
            <w:r w:rsidRPr="007B3B90">
              <w:rPr>
                <w:rFonts w:cs="Arial"/>
              </w:rPr>
              <w:t>MILD ANGINA PECTORIS (Canadian Class I or II)</w:t>
            </w:r>
          </w:p>
        </w:tc>
      </w:tr>
      <w:tr w:rsidR="00C8160F" w:rsidRPr="007B3B90" w14:paraId="7AC3329F" w14:textId="77777777" w:rsidTr="00764589">
        <w:trPr>
          <w:trHeight w:val="235"/>
        </w:trPr>
        <w:tc>
          <w:tcPr>
            <w:tcW w:w="10343" w:type="dxa"/>
            <w:tcBorders>
              <w:top w:val="single" w:sz="4" w:space="0" w:color="auto"/>
              <w:left w:val="single" w:sz="4" w:space="0" w:color="auto"/>
              <w:bottom w:val="single" w:sz="4" w:space="0" w:color="auto"/>
              <w:right w:val="single" w:sz="4" w:space="0" w:color="auto"/>
            </w:tcBorders>
            <w:shd w:val="clear" w:color="auto" w:fill="auto"/>
          </w:tcPr>
          <w:p w14:paraId="2166AB37" w14:textId="77777777" w:rsidR="00C8160F" w:rsidRPr="007B3B90" w:rsidRDefault="00C8160F" w:rsidP="00764589">
            <w:pPr>
              <w:widowControl w:val="0"/>
              <w:tabs>
                <w:tab w:val="left" w:pos="9639"/>
                <w:tab w:val="left" w:pos="9781"/>
                <w:tab w:val="left" w:pos="10065"/>
              </w:tabs>
              <w:autoSpaceDE w:val="0"/>
              <w:autoSpaceDN w:val="0"/>
              <w:adjustRightInd w:val="0"/>
              <w:ind w:left="-578" w:right="301" w:firstLine="1328"/>
              <w:rPr>
                <w:rFonts w:cs="Arial"/>
              </w:rPr>
            </w:pPr>
            <w:r w:rsidRPr="007B3B90">
              <w:rPr>
                <w:rFonts w:cs="Arial"/>
              </w:rPr>
              <w:t xml:space="preserve">PREVIOUS MI (by history or pathological Q waves) </w:t>
            </w:r>
          </w:p>
        </w:tc>
      </w:tr>
      <w:tr w:rsidR="00C8160F" w:rsidRPr="007B3B90" w14:paraId="39DA7808" w14:textId="77777777" w:rsidTr="00764589">
        <w:trPr>
          <w:trHeight w:val="95"/>
        </w:trPr>
        <w:tc>
          <w:tcPr>
            <w:tcW w:w="10343" w:type="dxa"/>
            <w:tcBorders>
              <w:top w:val="single" w:sz="4" w:space="0" w:color="auto"/>
              <w:left w:val="single" w:sz="4" w:space="0" w:color="auto"/>
              <w:bottom w:val="single" w:sz="4" w:space="0" w:color="auto"/>
              <w:right w:val="single" w:sz="4" w:space="0" w:color="auto"/>
            </w:tcBorders>
            <w:shd w:val="clear" w:color="auto" w:fill="auto"/>
          </w:tcPr>
          <w:p w14:paraId="2D79EF34" w14:textId="77777777" w:rsidR="00C8160F" w:rsidRPr="007B3B90" w:rsidRDefault="00C8160F" w:rsidP="00764589">
            <w:pPr>
              <w:widowControl w:val="0"/>
              <w:tabs>
                <w:tab w:val="left" w:pos="9639"/>
                <w:tab w:val="left" w:pos="9781"/>
                <w:tab w:val="left" w:pos="10065"/>
              </w:tabs>
              <w:autoSpaceDE w:val="0"/>
              <w:autoSpaceDN w:val="0"/>
              <w:adjustRightInd w:val="0"/>
              <w:ind w:left="-578" w:right="301" w:firstLine="1328"/>
              <w:rPr>
                <w:rFonts w:cs="Arial"/>
              </w:rPr>
            </w:pPr>
            <w:r w:rsidRPr="007B3B90">
              <w:rPr>
                <w:rFonts w:cs="Arial"/>
              </w:rPr>
              <w:t>COMPENSATED (or prior) CHF</w:t>
            </w:r>
          </w:p>
        </w:tc>
      </w:tr>
      <w:tr w:rsidR="00C8160F" w:rsidRPr="007B3B90" w14:paraId="41604543" w14:textId="77777777" w:rsidTr="00764589">
        <w:trPr>
          <w:trHeight w:val="235"/>
        </w:trPr>
        <w:tc>
          <w:tcPr>
            <w:tcW w:w="10343" w:type="dxa"/>
            <w:tcBorders>
              <w:top w:val="single" w:sz="4" w:space="0" w:color="auto"/>
              <w:left w:val="single" w:sz="4" w:space="0" w:color="auto"/>
              <w:bottom w:val="single" w:sz="4" w:space="0" w:color="auto"/>
              <w:right w:val="single" w:sz="4" w:space="0" w:color="auto"/>
            </w:tcBorders>
            <w:shd w:val="clear" w:color="auto" w:fill="auto"/>
          </w:tcPr>
          <w:p w14:paraId="0D3B9217" w14:textId="77777777" w:rsidR="00C8160F" w:rsidRPr="007B3B90" w:rsidRDefault="00C8160F" w:rsidP="00764589">
            <w:pPr>
              <w:widowControl w:val="0"/>
              <w:tabs>
                <w:tab w:val="left" w:pos="9639"/>
                <w:tab w:val="left" w:pos="9781"/>
                <w:tab w:val="left" w:pos="10065"/>
              </w:tabs>
              <w:autoSpaceDE w:val="0"/>
              <w:autoSpaceDN w:val="0"/>
              <w:adjustRightInd w:val="0"/>
              <w:ind w:left="-578" w:right="-401" w:firstLine="1328"/>
              <w:rPr>
                <w:rFonts w:cs="Arial"/>
              </w:rPr>
            </w:pPr>
            <w:r w:rsidRPr="007B3B90">
              <w:rPr>
                <w:rFonts w:cs="Arial"/>
              </w:rPr>
              <w:t>DIABETES MELLITUS (especially insulin-dependent type)</w:t>
            </w:r>
          </w:p>
        </w:tc>
      </w:tr>
      <w:tr w:rsidR="00C8160F" w:rsidRPr="007B3B90" w14:paraId="393FA8D8" w14:textId="77777777" w:rsidTr="00764589">
        <w:trPr>
          <w:trHeight w:val="235"/>
        </w:trPr>
        <w:tc>
          <w:tcPr>
            <w:tcW w:w="10343" w:type="dxa"/>
            <w:tcBorders>
              <w:left w:val="single" w:sz="4" w:space="0" w:color="auto"/>
              <w:bottom w:val="single" w:sz="4" w:space="0" w:color="auto"/>
              <w:right w:val="single" w:sz="4" w:space="0" w:color="auto"/>
            </w:tcBorders>
            <w:shd w:val="clear" w:color="auto" w:fill="F2F2F2" w:themeFill="background1" w:themeFillShade="F2"/>
          </w:tcPr>
          <w:p w14:paraId="254DEB11" w14:textId="77777777" w:rsidR="00C8160F" w:rsidRPr="007B3B90" w:rsidRDefault="00C8160F" w:rsidP="00764589">
            <w:pPr>
              <w:widowControl w:val="0"/>
              <w:tabs>
                <w:tab w:val="left" w:pos="9639"/>
                <w:tab w:val="left" w:pos="9781"/>
                <w:tab w:val="left" w:pos="10065"/>
              </w:tabs>
              <w:autoSpaceDE w:val="0"/>
              <w:autoSpaceDN w:val="0"/>
              <w:adjustRightInd w:val="0"/>
              <w:ind w:right="301"/>
              <w:rPr>
                <w:rFonts w:cs="Arial"/>
              </w:rPr>
            </w:pPr>
            <w:r w:rsidRPr="007B3B90">
              <w:rPr>
                <w:rFonts w:cs="Arial"/>
                <w:b/>
                <w:bCs/>
                <w:sz w:val="28"/>
                <w:szCs w:val="28"/>
              </w:rPr>
              <w:t>MINOR RISKS</w:t>
            </w:r>
            <w:r w:rsidRPr="007B3B90">
              <w:rPr>
                <w:rFonts w:cs="Arial"/>
              </w:rPr>
              <w:t xml:space="preserve"> </w:t>
            </w:r>
          </w:p>
        </w:tc>
      </w:tr>
      <w:tr w:rsidR="00C8160F" w:rsidRPr="007B3B90" w14:paraId="77EAAA1F" w14:textId="77777777" w:rsidTr="00764589">
        <w:trPr>
          <w:trHeight w:val="235"/>
        </w:trPr>
        <w:tc>
          <w:tcPr>
            <w:tcW w:w="10343" w:type="dxa"/>
            <w:tcBorders>
              <w:top w:val="single" w:sz="4" w:space="0" w:color="auto"/>
              <w:left w:val="single" w:sz="4" w:space="0" w:color="auto"/>
              <w:bottom w:val="single" w:sz="4" w:space="0" w:color="auto"/>
              <w:right w:val="single" w:sz="4" w:space="0" w:color="auto"/>
            </w:tcBorders>
          </w:tcPr>
          <w:p w14:paraId="5A3D2CC0" w14:textId="77777777" w:rsidR="00C8160F" w:rsidRPr="007B3B90" w:rsidRDefault="00C8160F" w:rsidP="00764589">
            <w:pPr>
              <w:widowControl w:val="0"/>
              <w:tabs>
                <w:tab w:val="left" w:pos="9639"/>
                <w:tab w:val="left" w:pos="9781"/>
                <w:tab w:val="left" w:pos="10065"/>
              </w:tabs>
              <w:autoSpaceDE w:val="0"/>
              <w:autoSpaceDN w:val="0"/>
              <w:adjustRightInd w:val="0"/>
              <w:ind w:left="567" w:right="301"/>
              <w:rPr>
                <w:rFonts w:cs="Arial"/>
              </w:rPr>
            </w:pPr>
            <w:r w:rsidRPr="007B3B90">
              <w:rPr>
                <w:rFonts w:cs="Arial"/>
              </w:rPr>
              <w:t>ADVANCED AGE</w:t>
            </w:r>
          </w:p>
        </w:tc>
      </w:tr>
      <w:tr w:rsidR="00C8160F" w:rsidRPr="007B3B90" w14:paraId="489A04E3" w14:textId="77777777" w:rsidTr="00764589">
        <w:trPr>
          <w:trHeight w:val="235"/>
        </w:trPr>
        <w:tc>
          <w:tcPr>
            <w:tcW w:w="10343" w:type="dxa"/>
            <w:tcBorders>
              <w:top w:val="single" w:sz="4" w:space="0" w:color="auto"/>
              <w:left w:val="single" w:sz="4" w:space="0" w:color="auto"/>
              <w:bottom w:val="single" w:sz="4" w:space="0" w:color="auto"/>
              <w:right w:val="single" w:sz="4" w:space="0" w:color="auto"/>
            </w:tcBorders>
          </w:tcPr>
          <w:p w14:paraId="008D6871" w14:textId="77777777" w:rsidR="00C8160F" w:rsidRPr="007B3B90" w:rsidRDefault="00C8160F" w:rsidP="00764589">
            <w:pPr>
              <w:widowControl w:val="0"/>
              <w:tabs>
                <w:tab w:val="left" w:pos="9639"/>
                <w:tab w:val="left" w:pos="9781"/>
                <w:tab w:val="left" w:pos="10065"/>
              </w:tabs>
              <w:autoSpaceDE w:val="0"/>
              <w:autoSpaceDN w:val="0"/>
              <w:adjustRightInd w:val="0"/>
              <w:ind w:left="567" w:right="301"/>
              <w:rPr>
                <w:rFonts w:cs="Arial"/>
              </w:rPr>
            </w:pPr>
            <w:r w:rsidRPr="007B3B90">
              <w:rPr>
                <w:rFonts w:cs="Arial"/>
              </w:rPr>
              <w:t xml:space="preserve">ABNORMAL ECG </w:t>
            </w:r>
          </w:p>
          <w:p w14:paraId="4BEC7038" w14:textId="77777777" w:rsidR="00C8160F" w:rsidRPr="007B3B90" w:rsidRDefault="00C8160F" w:rsidP="00764589">
            <w:pPr>
              <w:widowControl w:val="0"/>
              <w:tabs>
                <w:tab w:val="left" w:pos="9639"/>
                <w:tab w:val="left" w:pos="9781"/>
                <w:tab w:val="left" w:pos="10065"/>
              </w:tabs>
              <w:autoSpaceDE w:val="0"/>
              <w:autoSpaceDN w:val="0"/>
              <w:adjustRightInd w:val="0"/>
              <w:ind w:left="720" w:right="301"/>
              <w:rPr>
                <w:rFonts w:cs="Arial"/>
              </w:rPr>
            </w:pPr>
            <w:r w:rsidRPr="007B3B90">
              <w:rPr>
                <w:rFonts w:cs="Arial"/>
              </w:rPr>
              <w:t>(e.g., left ventricular hypertrophy, left bundle branch block, ST-T abnormalities)</w:t>
            </w:r>
          </w:p>
        </w:tc>
      </w:tr>
      <w:tr w:rsidR="00C8160F" w:rsidRPr="007B3B90" w14:paraId="5768D13A" w14:textId="77777777" w:rsidTr="00764589">
        <w:trPr>
          <w:trHeight w:val="235"/>
        </w:trPr>
        <w:tc>
          <w:tcPr>
            <w:tcW w:w="10343" w:type="dxa"/>
            <w:tcBorders>
              <w:top w:val="single" w:sz="4" w:space="0" w:color="auto"/>
              <w:left w:val="single" w:sz="4" w:space="0" w:color="auto"/>
              <w:bottom w:val="single" w:sz="4" w:space="0" w:color="auto"/>
              <w:right w:val="single" w:sz="4" w:space="0" w:color="auto"/>
            </w:tcBorders>
          </w:tcPr>
          <w:p w14:paraId="57BA5706" w14:textId="77777777" w:rsidR="00C8160F" w:rsidRPr="007B3B90" w:rsidRDefault="00C8160F" w:rsidP="00764589">
            <w:pPr>
              <w:widowControl w:val="0"/>
              <w:tabs>
                <w:tab w:val="left" w:pos="9639"/>
                <w:tab w:val="left" w:pos="9781"/>
                <w:tab w:val="left" w:pos="10065"/>
              </w:tabs>
              <w:autoSpaceDE w:val="0"/>
              <w:autoSpaceDN w:val="0"/>
              <w:adjustRightInd w:val="0"/>
              <w:ind w:left="567" w:right="301"/>
              <w:rPr>
                <w:rFonts w:cs="Arial"/>
              </w:rPr>
            </w:pPr>
            <w:r w:rsidRPr="007B3B90">
              <w:rPr>
                <w:rFonts w:cs="Arial"/>
              </w:rPr>
              <w:t xml:space="preserve">RHYTHM OTHER THAN SINUS </w:t>
            </w:r>
          </w:p>
          <w:p w14:paraId="22A963DD" w14:textId="77777777" w:rsidR="00C8160F" w:rsidRPr="007B3B90" w:rsidRDefault="00C8160F" w:rsidP="00764589">
            <w:pPr>
              <w:widowControl w:val="0"/>
              <w:tabs>
                <w:tab w:val="left" w:pos="9639"/>
                <w:tab w:val="left" w:pos="9781"/>
                <w:tab w:val="left" w:pos="10065"/>
              </w:tabs>
              <w:autoSpaceDE w:val="0"/>
              <w:autoSpaceDN w:val="0"/>
              <w:adjustRightInd w:val="0"/>
              <w:ind w:left="720" w:right="301"/>
              <w:rPr>
                <w:rFonts w:cs="Arial"/>
              </w:rPr>
            </w:pPr>
            <w:r w:rsidRPr="007B3B90">
              <w:rPr>
                <w:rFonts w:cs="Arial"/>
              </w:rPr>
              <w:t>(e.g., atrial fibrillation)</w:t>
            </w:r>
          </w:p>
        </w:tc>
      </w:tr>
      <w:tr w:rsidR="00C8160F" w:rsidRPr="007B3B90" w14:paraId="7979E678" w14:textId="77777777" w:rsidTr="00764589">
        <w:trPr>
          <w:trHeight w:val="235"/>
        </w:trPr>
        <w:tc>
          <w:tcPr>
            <w:tcW w:w="10343" w:type="dxa"/>
            <w:tcBorders>
              <w:top w:val="single" w:sz="4" w:space="0" w:color="auto"/>
              <w:left w:val="single" w:sz="4" w:space="0" w:color="auto"/>
              <w:bottom w:val="single" w:sz="4" w:space="0" w:color="auto"/>
              <w:right w:val="single" w:sz="4" w:space="0" w:color="auto"/>
            </w:tcBorders>
          </w:tcPr>
          <w:p w14:paraId="6B2F83E5" w14:textId="77777777" w:rsidR="00C8160F" w:rsidRPr="007B3B90" w:rsidRDefault="00C8160F" w:rsidP="00764589">
            <w:pPr>
              <w:widowControl w:val="0"/>
              <w:tabs>
                <w:tab w:val="left" w:pos="9639"/>
                <w:tab w:val="left" w:pos="9781"/>
                <w:tab w:val="left" w:pos="10065"/>
              </w:tabs>
              <w:autoSpaceDE w:val="0"/>
              <w:autoSpaceDN w:val="0"/>
              <w:adjustRightInd w:val="0"/>
              <w:ind w:left="567" w:right="301"/>
              <w:rPr>
                <w:rFonts w:cs="Arial"/>
              </w:rPr>
            </w:pPr>
            <w:r w:rsidRPr="007B3B90">
              <w:rPr>
                <w:rFonts w:cs="Arial"/>
              </w:rPr>
              <w:t>LOW FUNCTIONAL RESIDUAL CAPACITY</w:t>
            </w:r>
          </w:p>
          <w:p w14:paraId="18E3E2A1" w14:textId="77777777" w:rsidR="00C8160F" w:rsidRPr="007B3B90" w:rsidRDefault="00C8160F" w:rsidP="00764589">
            <w:pPr>
              <w:widowControl w:val="0"/>
              <w:tabs>
                <w:tab w:val="left" w:pos="9639"/>
                <w:tab w:val="left" w:pos="9781"/>
                <w:tab w:val="left" w:pos="10065"/>
              </w:tabs>
              <w:autoSpaceDE w:val="0"/>
              <w:autoSpaceDN w:val="0"/>
              <w:adjustRightInd w:val="0"/>
              <w:ind w:left="720" w:right="301"/>
              <w:rPr>
                <w:rFonts w:cs="Arial"/>
              </w:rPr>
            </w:pPr>
            <w:r w:rsidRPr="007B3B90">
              <w:rPr>
                <w:rFonts w:cs="Arial"/>
              </w:rPr>
              <w:t>(e.g., inability to climb one flight of stairs with a bag of groceries)</w:t>
            </w:r>
          </w:p>
        </w:tc>
      </w:tr>
      <w:tr w:rsidR="00C8160F" w:rsidRPr="007B3B90" w14:paraId="060761E5" w14:textId="77777777" w:rsidTr="00764589">
        <w:trPr>
          <w:trHeight w:val="235"/>
        </w:trPr>
        <w:tc>
          <w:tcPr>
            <w:tcW w:w="10343" w:type="dxa"/>
            <w:tcBorders>
              <w:top w:val="single" w:sz="4" w:space="0" w:color="auto"/>
              <w:left w:val="single" w:sz="4" w:space="0" w:color="auto"/>
              <w:bottom w:val="single" w:sz="4" w:space="0" w:color="auto"/>
              <w:right w:val="single" w:sz="4" w:space="0" w:color="auto"/>
            </w:tcBorders>
          </w:tcPr>
          <w:p w14:paraId="548B7B55" w14:textId="77777777" w:rsidR="00C8160F" w:rsidRPr="007B3B90" w:rsidRDefault="00C8160F" w:rsidP="00764589">
            <w:pPr>
              <w:widowControl w:val="0"/>
              <w:tabs>
                <w:tab w:val="left" w:pos="9639"/>
                <w:tab w:val="left" w:pos="9781"/>
                <w:tab w:val="left" w:pos="10065"/>
              </w:tabs>
              <w:autoSpaceDE w:val="0"/>
              <w:autoSpaceDN w:val="0"/>
              <w:adjustRightInd w:val="0"/>
              <w:ind w:left="567" w:right="301"/>
              <w:rPr>
                <w:rFonts w:cs="Arial"/>
              </w:rPr>
            </w:pPr>
            <w:r w:rsidRPr="007B3B90">
              <w:rPr>
                <w:rFonts w:cs="Arial"/>
              </w:rPr>
              <w:t xml:space="preserve">HISTORY OF STROKE </w:t>
            </w:r>
          </w:p>
        </w:tc>
      </w:tr>
      <w:tr w:rsidR="00C8160F" w:rsidRPr="007B3B90" w14:paraId="03B6A93C" w14:textId="77777777" w:rsidTr="00764589">
        <w:trPr>
          <w:trHeight w:val="235"/>
        </w:trPr>
        <w:tc>
          <w:tcPr>
            <w:tcW w:w="10343" w:type="dxa"/>
            <w:tcBorders>
              <w:top w:val="single" w:sz="4" w:space="0" w:color="auto"/>
              <w:left w:val="single" w:sz="4" w:space="0" w:color="auto"/>
              <w:bottom w:val="single" w:sz="4" w:space="0" w:color="auto"/>
              <w:right w:val="single" w:sz="4" w:space="0" w:color="auto"/>
            </w:tcBorders>
          </w:tcPr>
          <w:p w14:paraId="644344E3" w14:textId="77777777" w:rsidR="00C8160F" w:rsidRPr="007B3B90" w:rsidRDefault="00C8160F" w:rsidP="00764589">
            <w:pPr>
              <w:widowControl w:val="0"/>
              <w:tabs>
                <w:tab w:val="left" w:pos="9639"/>
                <w:tab w:val="left" w:pos="9781"/>
                <w:tab w:val="left" w:pos="10065"/>
              </w:tabs>
              <w:autoSpaceDE w:val="0"/>
              <w:autoSpaceDN w:val="0"/>
              <w:adjustRightInd w:val="0"/>
              <w:ind w:left="567" w:right="301"/>
              <w:rPr>
                <w:rFonts w:cs="Arial"/>
              </w:rPr>
            </w:pPr>
            <w:r w:rsidRPr="007B3B90">
              <w:rPr>
                <w:rFonts w:cs="Arial"/>
              </w:rPr>
              <w:t xml:space="preserve">UNCONTROLLED SYSTEMIC HYPERTENSION </w:t>
            </w:r>
          </w:p>
        </w:tc>
      </w:tr>
      <w:tr w:rsidR="00C8160F" w:rsidRPr="007B3B90" w14:paraId="3A8CE52C" w14:textId="77777777" w:rsidTr="00764589">
        <w:trPr>
          <w:trHeight w:val="235"/>
        </w:trPr>
        <w:tc>
          <w:tcPr>
            <w:tcW w:w="10343" w:type="dxa"/>
            <w:tcBorders>
              <w:top w:val="single" w:sz="4" w:space="0" w:color="auto"/>
              <w:left w:val="nil"/>
              <w:bottom w:val="nil"/>
              <w:right w:val="nil"/>
            </w:tcBorders>
          </w:tcPr>
          <w:p w14:paraId="11872470" w14:textId="77777777" w:rsidR="00C8160F" w:rsidRPr="007B3B90" w:rsidRDefault="00C8160F" w:rsidP="00764589">
            <w:pPr>
              <w:widowControl w:val="0"/>
              <w:tabs>
                <w:tab w:val="left" w:pos="9639"/>
                <w:tab w:val="left" w:pos="9781"/>
                <w:tab w:val="left" w:pos="10065"/>
              </w:tabs>
              <w:autoSpaceDE w:val="0"/>
              <w:autoSpaceDN w:val="0"/>
              <w:adjustRightInd w:val="0"/>
              <w:ind w:left="567" w:right="301"/>
              <w:rPr>
                <w:rFonts w:cs="Arial"/>
              </w:rPr>
            </w:pPr>
          </w:p>
          <w:p w14:paraId="088D94AA" w14:textId="77777777" w:rsidR="00C8160F" w:rsidRPr="007B3B90" w:rsidRDefault="00C8160F" w:rsidP="00764589">
            <w:pPr>
              <w:widowControl w:val="0"/>
              <w:tabs>
                <w:tab w:val="left" w:pos="9639"/>
                <w:tab w:val="left" w:pos="9781"/>
                <w:tab w:val="left" w:pos="10065"/>
              </w:tabs>
              <w:autoSpaceDE w:val="0"/>
              <w:autoSpaceDN w:val="0"/>
              <w:adjustRightInd w:val="0"/>
              <w:ind w:right="301"/>
              <w:rPr>
                <w:rFonts w:cs="Arial"/>
              </w:rPr>
            </w:pPr>
            <w:r w:rsidRPr="007B3B90">
              <w:rPr>
                <w:rFonts w:cs="Arial"/>
              </w:rPr>
              <w:t>ECG, electrocardiogram; MI, myocardial infarction; CHF, congestive heart failure</w:t>
            </w:r>
          </w:p>
        </w:tc>
      </w:tr>
    </w:tbl>
    <w:p w14:paraId="6734464B" w14:textId="77777777" w:rsidR="00D9538A" w:rsidRPr="007B3B90" w:rsidRDefault="00D9538A" w:rsidP="00D9538A">
      <w:pPr>
        <w:rPr>
          <w:sz w:val="22"/>
          <w:szCs w:val="22"/>
        </w:rPr>
      </w:pPr>
    </w:p>
    <w:sectPr w:rsidR="00D9538A" w:rsidRPr="007B3B90" w:rsidSect="0095568B">
      <w:headerReference w:type="default" r:id="rId16"/>
      <w:footerReference w:type="default" r:id="rId17"/>
      <w:footerReference w:type="first" r:id="rId18"/>
      <w:pgSz w:w="11907" w:h="16840" w:code="9"/>
      <w:pgMar w:top="1440" w:right="1678" w:bottom="1440" w:left="1440" w:header="68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4E74" w14:textId="77777777" w:rsidR="00A70E8F" w:rsidRDefault="00A70E8F">
      <w:r>
        <w:separator/>
      </w:r>
    </w:p>
  </w:endnote>
  <w:endnote w:type="continuationSeparator" w:id="0">
    <w:p w14:paraId="438B01EF" w14:textId="77777777" w:rsidR="00A70E8F" w:rsidRDefault="00A70E8F">
      <w:r>
        <w:continuationSeparator/>
      </w:r>
    </w:p>
  </w:endnote>
  <w:endnote w:type="continuationNotice" w:id="1">
    <w:p w14:paraId="1C2773FA" w14:textId="77777777" w:rsidR="00A70E8F" w:rsidRDefault="00A70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CE">
    <w:altName w:val="Calibri"/>
    <w:panose1 w:val="00000500000000020000"/>
    <w:charset w:val="58"/>
    <w:family w:val="auto"/>
    <w:pitch w:val="variable"/>
    <w:sig w:usb0="E00002FF" w:usb1="5000205A" w:usb2="00000000" w:usb3="00000000" w:csb0="0000019F" w:csb1="00000000"/>
  </w:font>
  <w:font w:name="Arial Bold">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MetaNormalLF-Roman">
    <w:altName w:val="Calibri"/>
    <w:panose1 w:val="020B0604020202020204"/>
    <w:charset w:val="00"/>
    <w:family w:val="swiss"/>
    <w:pitch w:val="variable"/>
    <w:sig w:usb0="80000027" w:usb1="00000000" w:usb2="00000000" w:usb3="00000000" w:csb0="00000001" w:csb1="00000000"/>
  </w:font>
  <w:font w:name="DPLHPK+Arial">
    <w:altName w:val="Arial"/>
    <w:panose1 w:val="020B0604020202020204"/>
    <w:charset w:val="00"/>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322"/>
      <w:docPartObj>
        <w:docPartGallery w:val="Page Numbers (Bottom of Page)"/>
        <w:docPartUnique/>
      </w:docPartObj>
    </w:sdtPr>
    <w:sdtEndPr/>
    <w:sdtContent>
      <w:sdt>
        <w:sdtPr>
          <w:id w:val="1728636285"/>
          <w:docPartObj>
            <w:docPartGallery w:val="Page Numbers (Top of Page)"/>
            <w:docPartUnique/>
          </w:docPartObj>
        </w:sdtPr>
        <w:sdtEndPr/>
        <w:sdtContent>
          <w:p w14:paraId="4A5DCC3E" w14:textId="127724B1" w:rsidR="00A1487C" w:rsidRDefault="00A148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31</w:t>
            </w:r>
            <w:r>
              <w:rPr>
                <w:b/>
                <w:bCs/>
                <w:sz w:val="24"/>
                <w:szCs w:val="24"/>
              </w:rPr>
              <w:fldChar w:fldCharType="end"/>
            </w:r>
          </w:p>
        </w:sdtContent>
      </w:sdt>
    </w:sdtContent>
  </w:sdt>
  <w:p w14:paraId="167B6A43" w14:textId="2504F5FE" w:rsidR="00A1487C" w:rsidRDefault="00A1487C" w:rsidP="005B62D4">
    <w:pPr>
      <w:pStyle w:val="Footer"/>
      <w:tabs>
        <w:tab w:val="clear" w:pos="8306"/>
        <w:tab w:val="right" w:pos="864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5143" w14:textId="77777777" w:rsidR="00A1487C" w:rsidRDefault="00A1487C"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r w:rsidR="00A70E8F">
      <w:fldChar w:fldCharType="begin"/>
    </w:r>
    <w:r w:rsidR="00A70E8F">
      <w:instrText xml:space="preserve"> NUMPAGES </w:instrText>
    </w:r>
    <w:r w:rsidR="00A70E8F">
      <w:fldChar w:fldCharType="separate"/>
    </w:r>
    <w:r>
      <w:rPr>
        <w:noProof/>
      </w:rPr>
      <w:t>13</w:t>
    </w:r>
    <w:r w:rsidR="00A70E8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D02D" w14:textId="77777777" w:rsidR="00A70E8F" w:rsidRDefault="00A70E8F">
      <w:r>
        <w:separator/>
      </w:r>
    </w:p>
  </w:footnote>
  <w:footnote w:type="continuationSeparator" w:id="0">
    <w:p w14:paraId="6CDDF8E3" w14:textId="77777777" w:rsidR="00A70E8F" w:rsidRDefault="00A70E8F">
      <w:r>
        <w:continuationSeparator/>
      </w:r>
    </w:p>
  </w:footnote>
  <w:footnote w:type="continuationNotice" w:id="1">
    <w:p w14:paraId="58499CD5" w14:textId="77777777" w:rsidR="00A70E8F" w:rsidRDefault="00A70E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FD3C" w14:textId="58D02F53" w:rsidR="00A1487C" w:rsidRPr="004208BD" w:rsidRDefault="00A1487C" w:rsidP="004208BD">
    <w:pPr>
      <w:pStyle w:val="Header"/>
      <w:rPr>
        <w:sz w:val="22"/>
        <w:szCs w:val="22"/>
      </w:rPr>
    </w:pPr>
    <w:bookmarkStart w:id="68" w:name="_Hlk78761046"/>
    <w:bookmarkStart w:id="69" w:name="_Hlk78761047"/>
    <w:bookmarkStart w:id="70" w:name="_Hlk78761051"/>
    <w:bookmarkStart w:id="71" w:name="_Hlk78761052"/>
    <w:r w:rsidRPr="004208BD">
      <w:rPr>
        <w:sz w:val="22"/>
        <w:szCs w:val="22"/>
      </w:rPr>
      <w:t xml:space="preserve">Protocol version </w:t>
    </w:r>
    <w:r>
      <w:rPr>
        <w:sz w:val="22"/>
        <w:szCs w:val="22"/>
      </w:rPr>
      <w:t>1.1</w:t>
    </w:r>
    <w:r w:rsidRPr="004208BD">
      <w:rPr>
        <w:sz w:val="22"/>
        <w:szCs w:val="22"/>
      </w:rPr>
      <w:t xml:space="preserve">, dated: </w:t>
    </w:r>
    <w:r>
      <w:rPr>
        <w:sz w:val="22"/>
        <w:szCs w:val="22"/>
      </w:rPr>
      <w:t>08</w:t>
    </w:r>
    <w:r w:rsidRPr="004208BD">
      <w:rPr>
        <w:sz w:val="22"/>
        <w:szCs w:val="22"/>
      </w:rPr>
      <w:t>/</w:t>
    </w:r>
    <w:r>
      <w:rPr>
        <w:sz w:val="22"/>
        <w:szCs w:val="22"/>
      </w:rPr>
      <w:t>12</w:t>
    </w:r>
    <w:r w:rsidRPr="004208BD">
      <w:rPr>
        <w:sz w:val="22"/>
        <w:szCs w:val="22"/>
      </w:rPr>
      <w:t>/202</w:t>
    </w:r>
    <w:r>
      <w:rPr>
        <w:sz w:val="22"/>
        <w:szCs w:val="22"/>
      </w:rPr>
      <w:t>1</w:t>
    </w:r>
  </w:p>
  <w:p w14:paraId="1011325B" w14:textId="2689287C" w:rsidR="00A1487C" w:rsidRDefault="00A1487C" w:rsidP="004208BD">
    <w:pPr>
      <w:pStyle w:val="Header"/>
      <w:rPr>
        <w:sz w:val="22"/>
        <w:szCs w:val="22"/>
      </w:rPr>
    </w:pPr>
    <w:r w:rsidRPr="004208BD">
      <w:rPr>
        <w:sz w:val="22"/>
        <w:szCs w:val="22"/>
      </w:rPr>
      <w:t xml:space="preserve">Favourable opinion given by </w:t>
    </w:r>
    <w:r>
      <w:rPr>
        <w:sz w:val="22"/>
        <w:szCs w:val="22"/>
      </w:rPr>
      <w:t xml:space="preserve">the London - Bromley Research Ethics Committee </w:t>
    </w:r>
    <w:r w:rsidRPr="004208BD">
      <w:rPr>
        <w:sz w:val="22"/>
        <w:szCs w:val="22"/>
      </w:rPr>
      <w:t xml:space="preserve">on </w:t>
    </w:r>
    <w:r>
      <w:rPr>
        <w:sz w:val="22"/>
        <w:szCs w:val="22"/>
      </w:rPr>
      <w:t>24</w:t>
    </w:r>
    <w:r w:rsidRPr="004208BD">
      <w:rPr>
        <w:sz w:val="22"/>
        <w:szCs w:val="22"/>
      </w:rPr>
      <w:t>/</w:t>
    </w:r>
    <w:r>
      <w:rPr>
        <w:sz w:val="22"/>
        <w:szCs w:val="22"/>
      </w:rPr>
      <w:t>01</w:t>
    </w:r>
    <w:r w:rsidRPr="004208BD">
      <w:rPr>
        <w:sz w:val="22"/>
        <w:szCs w:val="22"/>
      </w:rPr>
      <w:t>/</w:t>
    </w:r>
    <w:r>
      <w:rPr>
        <w:sz w:val="22"/>
        <w:szCs w:val="22"/>
      </w:rPr>
      <w:t>2022</w:t>
    </w:r>
  </w:p>
  <w:p w14:paraId="51992B18" w14:textId="0AE2B435" w:rsidR="00A1487C" w:rsidRDefault="00A1487C" w:rsidP="004208BD">
    <w:pPr>
      <w:pStyle w:val="Header"/>
      <w:rPr>
        <w:sz w:val="22"/>
        <w:szCs w:val="22"/>
      </w:rPr>
    </w:pPr>
  </w:p>
  <w:p w14:paraId="362811B9" w14:textId="77777777" w:rsidR="00A1487C" w:rsidRDefault="00A1487C" w:rsidP="004208BD">
    <w:pPr>
      <w:pStyle w:val="Header"/>
      <w:rPr>
        <w:sz w:val="22"/>
        <w:szCs w:val="22"/>
      </w:rPr>
    </w:pPr>
  </w:p>
  <w:p w14:paraId="703EE801" w14:textId="15524441" w:rsidR="00A1487C" w:rsidRPr="00FB7089" w:rsidRDefault="00A1487C" w:rsidP="004208BD">
    <w:pPr>
      <w:pStyle w:val="Header"/>
      <w:rPr>
        <w:sz w:val="22"/>
        <w:szCs w:val="22"/>
      </w:rPr>
    </w:pPr>
    <w:r w:rsidRPr="004208BD">
      <w:rPr>
        <w:sz w:val="22"/>
        <w:szCs w:val="22"/>
      </w:rPr>
      <w:tab/>
    </w:r>
    <w:bookmarkEnd w:id="68"/>
    <w:bookmarkEnd w:id="69"/>
    <w:bookmarkEnd w:id="70"/>
    <w:bookmarkEnd w:id="7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F720CB"/>
    <w:multiLevelType w:val="hybridMultilevel"/>
    <w:tmpl w:val="7952C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1EB468C"/>
    <w:multiLevelType w:val="hybridMultilevel"/>
    <w:tmpl w:val="478AE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625520"/>
    <w:multiLevelType w:val="hybridMultilevel"/>
    <w:tmpl w:val="E56CE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5DC709B"/>
    <w:multiLevelType w:val="hybridMultilevel"/>
    <w:tmpl w:val="ED3C9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412F67"/>
    <w:multiLevelType w:val="hybridMultilevel"/>
    <w:tmpl w:val="BECE633A"/>
    <w:lvl w:ilvl="0" w:tplc="F61AD51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20E59DD"/>
    <w:multiLevelType w:val="hybridMultilevel"/>
    <w:tmpl w:val="4B4AD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9F00AD"/>
    <w:multiLevelType w:val="hybridMultilevel"/>
    <w:tmpl w:val="37A65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FB3A17"/>
    <w:multiLevelType w:val="hybridMultilevel"/>
    <w:tmpl w:val="5150F144"/>
    <w:lvl w:ilvl="0" w:tplc="674E982C">
      <w:start w:val="1"/>
      <w:numFmt w:val="decimal"/>
      <w:lvlText w:val="%1."/>
      <w:lvlJc w:val="left"/>
      <w:pPr>
        <w:ind w:left="1791" w:hanging="360"/>
      </w:pPr>
      <w:rPr>
        <w:rFonts w:ascii="Arial" w:eastAsia="Times New Roman" w:hAnsi="Arial" w:cs="Arial"/>
      </w:rPr>
    </w:lvl>
    <w:lvl w:ilvl="1" w:tplc="04090003">
      <w:start w:val="1"/>
      <w:numFmt w:val="bullet"/>
      <w:lvlText w:val="o"/>
      <w:lvlJc w:val="left"/>
      <w:pPr>
        <w:ind w:left="2511" w:hanging="360"/>
      </w:pPr>
      <w:rPr>
        <w:rFonts w:ascii="Courier New" w:hAnsi="Courier New" w:cs="Symbol" w:hint="default"/>
      </w:rPr>
    </w:lvl>
    <w:lvl w:ilvl="2" w:tplc="04090005">
      <w:start w:val="1"/>
      <w:numFmt w:val="bullet"/>
      <w:lvlText w:val=""/>
      <w:lvlJc w:val="left"/>
      <w:pPr>
        <w:ind w:left="3231" w:hanging="360"/>
      </w:pPr>
      <w:rPr>
        <w:rFonts w:ascii="Wingdings" w:hAnsi="Wingdings" w:cs="Tahoma" w:hint="default"/>
      </w:rPr>
    </w:lvl>
    <w:lvl w:ilvl="3" w:tplc="04090001">
      <w:start w:val="1"/>
      <w:numFmt w:val="bullet"/>
      <w:lvlText w:val=""/>
      <w:lvlJc w:val="left"/>
      <w:pPr>
        <w:ind w:left="3951" w:hanging="360"/>
      </w:pPr>
      <w:rPr>
        <w:rFonts w:ascii="Symbol" w:hAnsi="Symbol" w:cs="Arial" w:hint="default"/>
      </w:rPr>
    </w:lvl>
    <w:lvl w:ilvl="4" w:tplc="04090003">
      <w:start w:val="1"/>
      <w:numFmt w:val="bullet"/>
      <w:lvlText w:val="o"/>
      <w:lvlJc w:val="left"/>
      <w:pPr>
        <w:ind w:left="4671" w:hanging="360"/>
      </w:pPr>
      <w:rPr>
        <w:rFonts w:ascii="Courier New" w:hAnsi="Courier New" w:cs="Symbol" w:hint="default"/>
      </w:rPr>
    </w:lvl>
    <w:lvl w:ilvl="5" w:tplc="04090005">
      <w:start w:val="1"/>
      <w:numFmt w:val="bullet"/>
      <w:lvlText w:val=""/>
      <w:lvlJc w:val="left"/>
      <w:pPr>
        <w:ind w:left="5391" w:hanging="360"/>
      </w:pPr>
      <w:rPr>
        <w:rFonts w:ascii="Wingdings" w:hAnsi="Wingdings" w:cs="Tahoma" w:hint="default"/>
      </w:rPr>
    </w:lvl>
    <w:lvl w:ilvl="6" w:tplc="04090001">
      <w:start w:val="1"/>
      <w:numFmt w:val="bullet"/>
      <w:lvlText w:val=""/>
      <w:lvlJc w:val="left"/>
      <w:pPr>
        <w:ind w:left="6111" w:hanging="360"/>
      </w:pPr>
      <w:rPr>
        <w:rFonts w:ascii="Symbol" w:hAnsi="Symbol" w:cs="Arial" w:hint="default"/>
      </w:rPr>
    </w:lvl>
    <w:lvl w:ilvl="7" w:tplc="04090003">
      <w:start w:val="1"/>
      <w:numFmt w:val="bullet"/>
      <w:lvlText w:val="o"/>
      <w:lvlJc w:val="left"/>
      <w:pPr>
        <w:ind w:left="6831" w:hanging="360"/>
      </w:pPr>
      <w:rPr>
        <w:rFonts w:ascii="Courier New" w:hAnsi="Courier New" w:cs="Symbol" w:hint="default"/>
      </w:rPr>
    </w:lvl>
    <w:lvl w:ilvl="8" w:tplc="04090005">
      <w:start w:val="1"/>
      <w:numFmt w:val="bullet"/>
      <w:lvlText w:val=""/>
      <w:lvlJc w:val="left"/>
      <w:pPr>
        <w:ind w:left="7551" w:hanging="360"/>
      </w:pPr>
      <w:rPr>
        <w:rFonts w:ascii="Wingdings" w:hAnsi="Wingdings" w:cs="Tahoma" w:hint="default"/>
      </w:rPr>
    </w:lvl>
  </w:abstractNum>
  <w:abstractNum w:abstractNumId="14" w15:restartNumberingAfterBreak="0">
    <w:nsid w:val="1FBC2CEB"/>
    <w:multiLevelType w:val="hybridMultilevel"/>
    <w:tmpl w:val="45AC4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F770AA"/>
    <w:multiLevelType w:val="hybridMultilevel"/>
    <w:tmpl w:val="49688B4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0B12B1"/>
    <w:multiLevelType w:val="hybridMultilevel"/>
    <w:tmpl w:val="7DDE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C1367"/>
    <w:multiLevelType w:val="hybridMultilevel"/>
    <w:tmpl w:val="3750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1070C1"/>
    <w:multiLevelType w:val="hybridMultilevel"/>
    <w:tmpl w:val="9A88DF02"/>
    <w:lvl w:ilvl="0" w:tplc="70E2074E">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5F697D"/>
    <w:multiLevelType w:val="hybridMultilevel"/>
    <w:tmpl w:val="C9F8DDF4"/>
    <w:lvl w:ilvl="0" w:tplc="8CB0BC42">
      <w:start w:val="1"/>
      <w:numFmt w:val="bullet"/>
      <w:pStyle w:val="Bullet2"/>
      <w:lvlText w:val=""/>
      <w:lvlJc w:val="left"/>
      <w:pPr>
        <w:tabs>
          <w:tab w:val="num" w:pos="1440"/>
        </w:tabs>
        <w:ind w:left="1440" w:hanging="360"/>
      </w:pPr>
      <w:rPr>
        <w:rFonts w:ascii="Symbol" w:hAnsi="Symbol" w:hint="default"/>
        <w:color w:val="0000FF"/>
      </w:rPr>
    </w:lvl>
    <w:lvl w:ilvl="1" w:tplc="DFF09588">
      <w:start w:val="1"/>
      <w:numFmt w:val="bullet"/>
      <w:lvlText w:val="o"/>
      <w:lvlJc w:val="left"/>
      <w:pPr>
        <w:tabs>
          <w:tab w:val="num" w:pos="2016"/>
        </w:tabs>
        <w:ind w:left="2016" w:hanging="360"/>
      </w:pPr>
      <w:rPr>
        <w:rFonts w:ascii="Courier New" w:hAnsi="Courier New" w:cs="Courier New" w:hint="default"/>
      </w:rPr>
    </w:lvl>
    <w:lvl w:ilvl="2" w:tplc="1F766B00" w:tentative="1">
      <w:start w:val="1"/>
      <w:numFmt w:val="bullet"/>
      <w:lvlText w:val=""/>
      <w:lvlJc w:val="left"/>
      <w:pPr>
        <w:tabs>
          <w:tab w:val="num" w:pos="2736"/>
        </w:tabs>
        <w:ind w:left="2736" w:hanging="360"/>
      </w:pPr>
      <w:rPr>
        <w:rFonts w:ascii="Wingdings" w:hAnsi="Wingdings" w:hint="default"/>
      </w:rPr>
    </w:lvl>
    <w:lvl w:ilvl="3" w:tplc="70481B6C" w:tentative="1">
      <w:start w:val="1"/>
      <w:numFmt w:val="bullet"/>
      <w:lvlText w:val=""/>
      <w:lvlJc w:val="left"/>
      <w:pPr>
        <w:tabs>
          <w:tab w:val="num" w:pos="3456"/>
        </w:tabs>
        <w:ind w:left="3456" w:hanging="360"/>
      </w:pPr>
      <w:rPr>
        <w:rFonts w:ascii="Symbol" w:hAnsi="Symbol" w:hint="default"/>
      </w:rPr>
    </w:lvl>
    <w:lvl w:ilvl="4" w:tplc="3CD63F7C" w:tentative="1">
      <w:start w:val="1"/>
      <w:numFmt w:val="bullet"/>
      <w:lvlText w:val="o"/>
      <w:lvlJc w:val="left"/>
      <w:pPr>
        <w:tabs>
          <w:tab w:val="num" w:pos="4176"/>
        </w:tabs>
        <w:ind w:left="4176" w:hanging="360"/>
      </w:pPr>
      <w:rPr>
        <w:rFonts w:ascii="Courier New" w:hAnsi="Courier New" w:cs="Courier New" w:hint="default"/>
      </w:rPr>
    </w:lvl>
    <w:lvl w:ilvl="5" w:tplc="D45C8758" w:tentative="1">
      <w:start w:val="1"/>
      <w:numFmt w:val="bullet"/>
      <w:lvlText w:val=""/>
      <w:lvlJc w:val="left"/>
      <w:pPr>
        <w:tabs>
          <w:tab w:val="num" w:pos="4896"/>
        </w:tabs>
        <w:ind w:left="4896" w:hanging="360"/>
      </w:pPr>
      <w:rPr>
        <w:rFonts w:ascii="Wingdings" w:hAnsi="Wingdings" w:hint="default"/>
      </w:rPr>
    </w:lvl>
    <w:lvl w:ilvl="6" w:tplc="D520EA5C" w:tentative="1">
      <w:start w:val="1"/>
      <w:numFmt w:val="bullet"/>
      <w:lvlText w:val=""/>
      <w:lvlJc w:val="left"/>
      <w:pPr>
        <w:tabs>
          <w:tab w:val="num" w:pos="5616"/>
        </w:tabs>
        <w:ind w:left="5616" w:hanging="360"/>
      </w:pPr>
      <w:rPr>
        <w:rFonts w:ascii="Symbol" w:hAnsi="Symbol" w:hint="default"/>
      </w:rPr>
    </w:lvl>
    <w:lvl w:ilvl="7" w:tplc="4D727FFC" w:tentative="1">
      <w:start w:val="1"/>
      <w:numFmt w:val="bullet"/>
      <w:lvlText w:val="o"/>
      <w:lvlJc w:val="left"/>
      <w:pPr>
        <w:tabs>
          <w:tab w:val="num" w:pos="6336"/>
        </w:tabs>
        <w:ind w:left="6336" w:hanging="360"/>
      </w:pPr>
      <w:rPr>
        <w:rFonts w:ascii="Courier New" w:hAnsi="Courier New" w:cs="Courier New" w:hint="default"/>
      </w:rPr>
    </w:lvl>
    <w:lvl w:ilvl="8" w:tplc="6D6AFFD2"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43DF087E"/>
    <w:multiLevelType w:val="hybridMultilevel"/>
    <w:tmpl w:val="ED3C9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CC62CE"/>
    <w:multiLevelType w:val="hybridMultilevel"/>
    <w:tmpl w:val="6664A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6" w15:restartNumberingAfterBreak="0">
    <w:nsid w:val="598E67A1"/>
    <w:multiLevelType w:val="hybridMultilevel"/>
    <w:tmpl w:val="45AC4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097E66"/>
    <w:multiLevelType w:val="hybridMultilevel"/>
    <w:tmpl w:val="C2860714"/>
    <w:lvl w:ilvl="0" w:tplc="C42E9A0C">
      <w:start w:val="1"/>
      <w:numFmt w:val="lowerLetter"/>
      <w:lvlText w:val="%1."/>
      <w:lvlJc w:val="left"/>
      <w:pPr>
        <w:ind w:left="2160" w:hanging="360"/>
      </w:pPr>
      <w:rPr>
        <w:rFonts w:ascii="Arial" w:eastAsia="Times New Roman" w:hAnsi="Arial" w:cs="Times C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30" w15:restartNumberingAfterBreak="0">
    <w:nsid w:val="66603793"/>
    <w:multiLevelType w:val="hybridMultilevel"/>
    <w:tmpl w:val="8BBAF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0E2010"/>
    <w:multiLevelType w:val="hybridMultilevel"/>
    <w:tmpl w:val="7402E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5B42B6"/>
    <w:multiLevelType w:val="hybridMultilevel"/>
    <w:tmpl w:val="F482A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4200D"/>
    <w:multiLevelType w:val="hybridMultilevel"/>
    <w:tmpl w:val="A69EA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481DB5"/>
    <w:multiLevelType w:val="hybridMultilevel"/>
    <w:tmpl w:val="C49E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805E81"/>
    <w:multiLevelType w:val="hybridMultilevel"/>
    <w:tmpl w:val="4028C3EE"/>
    <w:lvl w:ilvl="0" w:tplc="85CC43A8">
      <w:start w:val="1"/>
      <w:numFmt w:val="bullet"/>
      <w:pStyle w:val="Bullet3"/>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16cid:durableId="781994027">
    <w:abstractNumId w:val="25"/>
  </w:num>
  <w:num w:numId="2" w16cid:durableId="1482038764">
    <w:abstractNumId w:val="29"/>
  </w:num>
  <w:num w:numId="3" w16cid:durableId="540676799">
    <w:abstractNumId w:val="17"/>
  </w:num>
  <w:num w:numId="4" w16cid:durableId="91362371">
    <w:abstractNumId w:val="28"/>
  </w:num>
  <w:num w:numId="5" w16cid:durableId="1356082179">
    <w:abstractNumId w:val="19"/>
  </w:num>
  <w:num w:numId="6" w16cid:durableId="1648775304">
    <w:abstractNumId w:val="21"/>
  </w:num>
  <w:num w:numId="7" w16cid:durableId="1150056415">
    <w:abstractNumId w:val="12"/>
  </w:num>
  <w:num w:numId="8" w16cid:durableId="1495485036">
    <w:abstractNumId w:val="24"/>
  </w:num>
  <w:num w:numId="9" w16cid:durableId="146014973">
    <w:abstractNumId w:val="13"/>
  </w:num>
  <w:num w:numId="10" w16cid:durableId="864558830">
    <w:abstractNumId w:val="20"/>
  </w:num>
  <w:num w:numId="11" w16cid:durableId="1443263627">
    <w:abstractNumId w:val="22"/>
  </w:num>
  <w:num w:numId="12" w16cid:durableId="1137643233">
    <w:abstractNumId w:val="34"/>
  </w:num>
  <w:num w:numId="13" w16cid:durableId="2052263003">
    <w:abstractNumId w:val="16"/>
  </w:num>
  <w:num w:numId="14" w16cid:durableId="2019310035">
    <w:abstractNumId w:val="0"/>
  </w:num>
  <w:num w:numId="15" w16cid:durableId="1684278717">
    <w:abstractNumId w:val="1"/>
  </w:num>
  <w:num w:numId="16" w16cid:durableId="611129232">
    <w:abstractNumId w:val="2"/>
  </w:num>
  <w:num w:numId="17" w16cid:durableId="1159615837">
    <w:abstractNumId w:val="3"/>
  </w:num>
  <w:num w:numId="18" w16cid:durableId="1539275208">
    <w:abstractNumId w:val="4"/>
  </w:num>
  <w:num w:numId="19" w16cid:durableId="610865608">
    <w:abstractNumId w:val="10"/>
  </w:num>
  <w:num w:numId="20" w16cid:durableId="1265579351">
    <w:abstractNumId w:val="7"/>
  </w:num>
  <w:num w:numId="21" w16cid:durableId="1487471147">
    <w:abstractNumId w:val="33"/>
  </w:num>
  <w:num w:numId="22" w16cid:durableId="1467510117">
    <w:abstractNumId w:val="27"/>
  </w:num>
  <w:num w:numId="23" w16cid:durableId="680818356">
    <w:abstractNumId w:val="9"/>
  </w:num>
  <w:num w:numId="24" w16cid:durableId="2038115225">
    <w:abstractNumId w:val="23"/>
  </w:num>
  <w:num w:numId="25" w16cid:durableId="1531793989">
    <w:abstractNumId w:val="31"/>
  </w:num>
  <w:num w:numId="26" w16cid:durableId="1062295403">
    <w:abstractNumId w:val="11"/>
  </w:num>
  <w:num w:numId="27" w16cid:durableId="2020808030">
    <w:abstractNumId w:val="32"/>
  </w:num>
  <w:num w:numId="28" w16cid:durableId="2000378550">
    <w:abstractNumId w:val="15"/>
  </w:num>
  <w:num w:numId="29" w16cid:durableId="1764648899">
    <w:abstractNumId w:val="30"/>
  </w:num>
  <w:num w:numId="30" w16cid:durableId="1309087536">
    <w:abstractNumId w:val="35"/>
  </w:num>
  <w:num w:numId="31" w16cid:durableId="417100217">
    <w:abstractNumId w:val="5"/>
  </w:num>
  <w:num w:numId="32" w16cid:durableId="86968196">
    <w:abstractNumId w:val="18"/>
  </w:num>
  <w:num w:numId="33" w16cid:durableId="1820882272">
    <w:abstractNumId w:val="8"/>
  </w:num>
  <w:num w:numId="34" w16cid:durableId="741097978">
    <w:abstractNumId w:val="14"/>
  </w:num>
  <w:num w:numId="35" w16cid:durableId="1836608312">
    <w:abstractNumId w:val="6"/>
  </w:num>
  <w:num w:numId="36" w16cid:durableId="125667526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A"/>
    <w:rsid w:val="00002020"/>
    <w:rsid w:val="00003622"/>
    <w:rsid w:val="00005ABC"/>
    <w:rsid w:val="00005D48"/>
    <w:rsid w:val="00005DC3"/>
    <w:rsid w:val="00006536"/>
    <w:rsid w:val="00006B76"/>
    <w:rsid w:val="0001004A"/>
    <w:rsid w:val="000175DC"/>
    <w:rsid w:val="0002129E"/>
    <w:rsid w:val="00022B47"/>
    <w:rsid w:val="00022CFF"/>
    <w:rsid w:val="00024AB9"/>
    <w:rsid w:val="00024D41"/>
    <w:rsid w:val="0002668B"/>
    <w:rsid w:val="00026A4B"/>
    <w:rsid w:val="000318CF"/>
    <w:rsid w:val="00033596"/>
    <w:rsid w:val="00033E63"/>
    <w:rsid w:val="000343DB"/>
    <w:rsid w:val="000359CE"/>
    <w:rsid w:val="00035D35"/>
    <w:rsid w:val="0003669C"/>
    <w:rsid w:val="00036F35"/>
    <w:rsid w:val="000372E8"/>
    <w:rsid w:val="00037AE7"/>
    <w:rsid w:val="0004389E"/>
    <w:rsid w:val="000446DB"/>
    <w:rsid w:val="000456EA"/>
    <w:rsid w:val="00045E18"/>
    <w:rsid w:val="000463A4"/>
    <w:rsid w:val="0004763B"/>
    <w:rsid w:val="00047871"/>
    <w:rsid w:val="0005397C"/>
    <w:rsid w:val="0005443D"/>
    <w:rsid w:val="0006096E"/>
    <w:rsid w:val="000673AE"/>
    <w:rsid w:val="00070D7B"/>
    <w:rsid w:val="00071577"/>
    <w:rsid w:val="00071CA7"/>
    <w:rsid w:val="00073D31"/>
    <w:rsid w:val="00074EDF"/>
    <w:rsid w:val="000762EE"/>
    <w:rsid w:val="000778F2"/>
    <w:rsid w:val="00080127"/>
    <w:rsid w:val="00080571"/>
    <w:rsid w:val="000809A8"/>
    <w:rsid w:val="00080E59"/>
    <w:rsid w:val="0008424C"/>
    <w:rsid w:val="000844C4"/>
    <w:rsid w:val="00085B8F"/>
    <w:rsid w:val="0008622D"/>
    <w:rsid w:val="00086EBA"/>
    <w:rsid w:val="00087866"/>
    <w:rsid w:val="00087CB9"/>
    <w:rsid w:val="0009162F"/>
    <w:rsid w:val="00092010"/>
    <w:rsid w:val="000927BC"/>
    <w:rsid w:val="0009679E"/>
    <w:rsid w:val="000A083D"/>
    <w:rsid w:val="000A1748"/>
    <w:rsid w:val="000A495F"/>
    <w:rsid w:val="000A4DAC"/>
    <w:rsid w:val="000A6210"/>
    <w:rsid w:val="000B0C21"/>
    <w:rsid w:val="000B11BD"/>
    <w:rsid w:val="000B2A9B"/>
    <w:rsid w:val="000B3B8C"/>
    <w:rsid w:val="000B4F04"/>
    <w:rsid w:val="000B5534"/>
    <w:rsid w:val="000C1981"/>
    <w:rsid w:val="000C26B5"/>
    <w:rsid w:val="000C2F8F"/>
    <w:rsid w:val="000C3A3B"/>
    <w:rsid w:val="000C435C"/>
    <w:rsid w:val="000C4A0D"/>
    <w:rsid w:val="000C53A1"/>
    <w:rsid w:val="000C5EE2"/>
    <w:rsid w:val="000D1FC6"/>
    <w:rsid w:val="000D2C46"/>
    <w:rsid w:val="000D3DFA"/>
    <w:rsid w:val="000D5959"/>
    <w:rsid w:val="000D5BFC"/>
    <w:rsid w:val="000D64CA"/>
    <w:rsid w:val="000D66CA"/>
    <w:rsid w:val="000E0B4F"/>
    <w:rsid w:val="000E15AB"/>
    <w:rsid w:val="000E1E27"/>
    <w:rsid w:val="000E48FF"/>
    <w:rsid w:val="000E5364"/>
    <w:rsid w:val="000E5CBD"/>
    <w:rsid w:val="000E6AC7"/>
    <w:rsid w:val="000F1A06"/>
    <w:rsid w:val="000F2BF1"/>
    <w:rsid w:val="000F2D14"/>
    <w:rsid w:val="000F424D"/>
    <w:rsid w:val="000F60BD"/>
    <w:rsid w:val="000F69A5"/>
    <w:rsid w:val="00100304"/>
    <w:rsid w:val="00100913"/>
    <w:rsid w:val="00100ADE"/>
    <w:rsid w:val="001025E1"/>
    <w:rsid w:val="001048A1"/>
    <w:rsid w:val="00104D60"/>
    <w:rsid w:val="0010521F"/>
    <w:rsid w:val="00105AA7"/>
    <w:rsid w:val="0010641F"/>
    <w:rsid w:val="001065A7"/>
    <w:rsid w:val="00106C91"/>
    <w:rsid w:val="00110D2A"/>
    <w:rsid w:val="0011523B"/>
    <w:rsid w:val="00116CB1"/>
    <w:rsid w:val="00116EF8"/>
    <w:rsid w:val="00122137"/>
    <w:rsid w:val="0012288A"/>
    <w:rsid w:val="00124D7C"/>
    <w:rsid w:val="0012595F"/>
    <w:rsid w:val="00125E3F"/>
    <w:rsid w:val="001260E8"/>
    <w:rsid w:val="001263D1"/>
    <w:rsid w:val="00127072"/>
    <w:rsid w:val="0013019E"/>
    <w:rsid w:val="001304FC"/>
    <w:rsid w:val="00130836"/>
    <w:rsid w:val="001311B2"/>
    <w:rsid w:val="00131DFF"/>
    <w:rsid w:val="001327C0"/>
    <w:rsid w:val="00132BF7"/>
    <w:rsid w:val="0013422E"/>
    <w:rsid w:val="001352F3"/>
    <w:rsid w:val="001356C3"/>
    <w:rsid w:val="001364A8"/>
    <w:rsid w:val="00136657"/>
    <w:rsid w:val="00136B89"/>
    <w:rsid w:val="0013733D"/>
    <w:rsid w:val="001374EE"/>
    <w:rsid w:val="001374F2"/>
    <w:rsid w:val="00140FF8"/>
    <w:rsid w:val="001418A9"/>
    <w:rsid w:val="00142203"/>
    <w:rsid w:val="00142807"/>
    <w:rsid w:val="001452B9"/>
    <w:rsid w:val="001456C9"/>
    <w:rsid w:val="00151BF4"/>
    <w:rsid w:val="00152498"/>
    <w:rsid w:val="00155917"/>
    <w:rsid w:val="00160DAD"/>
    <w:rsid w:val="001611ED"/>
    <w:rsid w:val="001614C9"/>
    <w:rsid w:val="001652D3"/>
    <w:rsid w:val="0016770F"/>
    <w:rsid w:val="0017067A"/>
    <w:rsid w:val="001712A7"/>
    <w:rsid w:val="00173805"/>
    <w:rsid w:val="00175324"/>
    <w:rsid w:val="001753D8"/>
    <w:rsid w:val="001765AB"/>
    <w:rsid w:val="00177BF6"/>
    <w:rsid w:val="00180316"/>
    <w:rsid w:val="00182903"/>
    <w:rsid w:val="0018304D"/>
    <w:rsid w:val="0018353B"/>
    <w:rsid w:val="0018385B"/>
    <w:rsid w:val="00184A32"/>
    <w:rsid w:val="00185E02"/>
    <w:rsid w:val="0018712B"/>
    <w:rsid w:val="00187F3E"/>
    <w:rsid w:val="00190EBF"/>
    <w:rsid w:val="00191370"/>
    <w:rsid w:val="001925DA"/>
    <w:rsid w:val="0019389D"/>
    <w:rsid w:val="001953B2"/>
    <w:rsid w:val="001959AC"/>
    <w:rsid w:val="00195B3D"/>
    <w:rsid w:val="00196F82"/>
    <w:rsid w:val="001A31A2"/>
    <w:rsid w:val="001A3A2E"/>
    <w:rsid w:val="001A50CF"/>
    <w:rsid w:val="001A64C6"/>
    <w:rsid w:val="001A7247"/>
    <w:rsid w:val="001B0923"/>
    <w:rsid w:val="001B1487"/>
    <w:rsid w:val="001B1E5E"/>
    <w:rsid w:val="001B2DE2"/>
    <w:rsid w:val="001B4CD8"/>
    <w:rsid w:val="001B5113"/>
    <w:rsid w:val="001C15F0"/>
    <w:rsid w:val="001C3DA5"/>
    <w:rsid w:val="001C5B75"/>
    <w:rsid w:val="001C6B71"/>
    <w:rsid w:val="001D0071"/>
    <w:rsid w:val="001D177D"/>
    <w:rsid w:val="001D559C"/>
    <w:rsid w:val="001D6094"/>
    <w:rsid w:val="001D60DB"/>
    <w:rsid w:val="001D6736"/>
    <w:rsid w:val="001D74B2"/>
    <w:rsid w:val="001E03A1"/>
    <w:rsid w:val="001E18FF"/>
    <w:rsid w:val="001E4D0F"/>
    <w:rsid w:val="001E581E"/>
    <w:rsid w:val="001F0286"/>
    <w:rsid w:val="001F254F"/>
    <w:rsid w:val="001F3F80"/>
    <w:rsid w:val="001F4480"/>
    <w:rsid w:val="001F4624"/>
    <w:rsid w:val="001F4BDC"/>
    <w:rsid w:val="001F4C01"/>
    <w:rsid w:val="001F60E9"/>
    <w:rsid w:val="001F7DC1"/>
    <w:rsid w:val="00202188"/>
    <w:rsid w:val="002022C2"/>
    <w:rsid w:val="00202A0D"/>
    <w:rsid w:val="00202B43"/>
    <w:rsid w:val="0020412E"/>
    <w:rsid w:val="0020438C"/>
    <w:rsid w:val="0020498C"/>
    <w:rsid w:val="00205907"/>
    <w:rsid w:val="00206833"/>
    <w:rsid w:val="002119A5"/>
    <w:rsid w:val="00211B13"/>
    <w:rsid w:val="00213A21"/>
    <w:rsid w:val="0021418E"/>
    <w:rsid w:val="00216FF4"/>
    <w:rsid w:val="0021706F"/>
    <w:rsid w:val="00217739"/>
    <w:rsid w:val="00217A93"/>
    <w:rsid w:val="00221D0D"/>
    <w:rsid w:val="00224131"/>
    <w:rsid w:val="002269F9"/>
    <w:rsid w:val="0022705C"/>
    <w:rsid w:val="00233229"/>
    <w:rsid w:val="002332E2"/>
    <w:rsid w:val="00233601"/>
    <w:rsid w:val="002349E0"/>
    <w:rsid w:val="00237319"/>
    <w:rsid w:val="00237A66"/>
    <w:rsid w:val="00237D52"/>
    <w:rsid w:val="0024022E"/>
    <w:rsid w:val="0024060A"/>
    <w:rsid w:val="00242838"/>
    <w:rsid w:val="002446B5"/>
    <w:rsid w:val="00244E5F"/>
    <w:rsid w:val="002456A9"/>
    <w:rsid w:val="00245A60"/>
    <w:rsid w:val="002462C7"/>
    <w:rsid w:val="0024661D"/>
    <w:rsid w:val="0024702D"/>
    <w:rsid w:val="00247ECB"/>
    <w:rsid w:val="0025108D"/>
    <w:rsid w:val="0025192E"/>
    <w:rsid w:val="00253F2E"/>
    <w:rsid w:val="00254F77"/>
    <w:rsid w:val="0025793A"/>
    <w:rsid w:val="0026035D"/>
    <w:rsid w:val="002607B7"/>
    <w:rsid w:val="00260B03"/>
    <w:rsid w:val="002629C5"/>
    <w:rsid w:val="002630CE"/>
    <w:rsid w:val="0026381C"/>
    <w:rsid w:val="00263946"/>
    <w:rsid w:val="002736E7"/>
    <w:rsid w:val="0027795D"/>
    <w:rsid w:val="00282F51"/>
    <w:rsid w:val="00283F6B"/>
    <w:rsid w:val="0028429C"/>
    <w:rsid w:val="00284477"/>
    <w:rsid w:val="002846DF"/>
    <w:rsid w:val="0029179B"/>
    <w:rsid w:val="00292BC8"/>
    <w:rsid w:val="002933D1"/>
    <w:rsid w:val="0029407B"/>
    <w:rsid w:val="00295780"/>
    <w:rsid w:val="00296446"/>
    <w:rsid w:val="00297A7D"/>
    <w:rsid w:val="00297DCD"/>
    <w:rsid w:val="002A2802"/>
    <w:rsid w:val="002A2EC1"/>
    <w:rsid w:val="002A5639"/>
    <w:rsid w:val="002A57BE"/>
    <w:rsid w:val="002A6628"/>
    <w:rsid w:val="002B3B21"/>
    <w:rsid w:val="002B5F37"/>
    <w:rsid w:val="002B645B"/>
    <w:rsid w:val="002B721B"/>
    <w:rsid w:val="002B72BA"/>
    <w:rsid w:val="002B74C4"/>
    <w:rsid w:val="002B7EB5"/>
    <w:rsid w:val="002C1A4C"/>
    <w:rsid w:val="002C41DA"/>
    <w:rsid w:val="002C4C10"/>
    <w:rsid w:val="002C4D00"/>
    <w:rsid w:val="002C535E"/>
    <w:rsid w:val="002C6CFC"/>
    <w:rsid w:val="002C7344"/>
    <w:rsid w:val="002C7906"/>
    <w:rsid w:val="002D06D6"/>
    <w:rsid w:val="002D080B"/>
    <w:rsid w:val="002D171C"/>
    <w:rsid w:val="002D2844"/>
    <w:rsid w:val="002D4027"/>
    <w:rsid w:val="002D64BC"/>
    <w:rsid w:val="002E01A8"/>
    <w:rsid w:val="002E1590"/>
    <w:rsid w:val="002E1D31"/>
    <w:rsid w:val="002E228C"/>
    <w:rsid w:val="002E345D"/>
    <w:rsid w:val="002E4A70"/>
    <w:rsid w:val="002E5049"/>
    <w:rsid w:val="002E771E"/>
    <w:rsid w:val="002E7C7F"/>
    <w:rsid w:val="002F4073"/>
    <w:rsid w:val="002F426E"/>
    <w:rsid w:val="002F555D"/>
    <w:rsid w:val="002F5C5F"/>
    <w:rsid w:val="002F658B"/>
    <w:rsid w:val="00300B59"/>
    <w:rsid w:val="0030126B"/>
    <w:rsid w:val="00302C01"/>
    <w:rsid w:val="00303764"/>
    <w:rsid w:val="00303D09"/>
    <w:rsid w:val="003047B7"/>
    <w:rsid w:val="0030599A"/>
    <w:rsid w:val="00311970"/>
    <w:rsid w:val="00312BA2"/>
    <w:rsid w:val="00313541"/>
    <w:rsid w:val="003146A1"/>
    <w:rsid w:val="003147E9"/>
    <w:rsid w:val="00314A2D"/>
    <w:rsid w:val="00314C26"/>
    <w:rsid w:val="003154CD"/>
    <w:rsid w:val="00317042"/>
    <w:rsid w:val="0032358C"/>
    <w:rsid w:val="003249C6"/>
    <w:rsid w:val="00330314"/>
    <w:rsid w:val="00333C4D"/>
    <w:rsid w:val="00335C36"/>
    <w:rsid w:val="00341EB6"/>
    <w:rsid w:val="00344277"/>
    <w:rsid w:val="0034703D"/>
    <w:rsid w:val="00353054"/>
    <w:rsid w:val="00356A0B"/>
    <w:rsid w:val="00357A83"/>
    <w:rsid w:val="00361634"/>
    <w:rsid w:val="00365738"/>
    <w:rsid w:val="00371C95"/>
    <w:rsid w:val="00372335"/>
    <w:rsid w:val="0037280D"/>
    <w:rsid w:val="00372AB3"/>
    <w:rsid w:val="00373861"/>
    <w:rsid w:val="00375E08"/>
    <w:rsid w:val="00376D8C"/>
    <w:rsid w:val="00376E48"/>
    <w:rsid w:val="00377728"/>
    <w:rsid w:val="00377FDE"/>
    <w:rsid w:val="003805AD"/>
    <w:rsid w:val="00380F6F"/>
    <w:rsid w:val="00384586"/>
    <w:rsid w:val="00386127"/>
    <w:rsid w:val="00391811"/>
    <w:rsid w:val="00393003"/>
    <w:rsid w:val="003936B3"/>
    <w:rsid w:val="00393AF3"/>
    <w:rsid w:val="003943B7"/>
    <w:rsid w:val="003947DC"/>
    <w:rsid w:val="0039581A"/>
    <w:rsid w:val="003A17BA"/>
    <w:rsid w:val="003A2371"/>
    <w:rsid w:val="003A4AFB"/>
    <w:rsid w:val="003A4E92"/>
    <w:rsid w:val="003A73DB"/>
    <w:rsid w:val="003B1147"/>
    <w:rsid w:val="003B3D34"/>
    <w:rsid w:val="003B45E8"/>
    <w:rsid w:val="003C1CA3"/>
    <w:rsid w:val="003C4421"/>
    <w:rsid w:val="003D05F2"/>
    <w:rsid w:val="003D2B36"/>
    <w:rsid w:val="003E154F"/>
    <w:rsid w:val="003E50FC"/>
    <w:rsid w:val="003E582D"/>
    <w:rsid w:val="003E622A"/>
    <w:rsid w:val="003E6487"/>
    <w:rsid w:val="003E6694"/>
    <w:rsid w:val="003E7ACD"/>
    <w:rsid w:val="003F0124"/>
    <w:rsid w:val="003F137F"/>
    <w:rsid w:val="003F2692"/>
    <w:rsid w:val="003F2BC2"/>
    <w:rsid w:val="003F3770"/>
    <w:rsid w:val="003F3B8B"/>
    <w:rsid w:val="003F5A6C"/>
    <w:rsid w:val="003F6A52"/>
    <w:rsid w:val="003F6CFD"/>
    <w:rsid w:val="0040286E"/>
    <w:rsid w:val="004035F9"/>
    <w:rsid w:val="00404320"/>
    <w:rsid w:val="004058B1"/>
    <w:rsid w:val="004058B3"/>
    <w:rsid w:val="00406501"/>
    <w:rsid w:val="00406537"/>
    <w:rsid w:val="0040705A"/>
    <w:rsid w:val="004070BA"/>
    <w:rsid w:val="0041049C"/>
    <w:rsid w:val="00414975"/>
    <w:rsid w:val="00415B14"/>
    <w:rsid w:val="00415CA3"/>
    <w:rsid w:val="00415CCD"/>
    <w:rsid w:val="00415CDB"/>
    <w:rsid w:val="0041606B"/>
    <w:rsid w:val="004168C6"/>
    <w:rsid w:val="004208BD"/>
    <w:rsid w:val="0042141D"/>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432C"/>
    <w:rsid w:val="0043458B"/>
    <w:rsid w:val="00434A80"/>
    <w:rsid w:val="00436B39"/>
    <w:rsid w:val="00437536"/>
    <w:rsid w:val="0044075A"/>
    <w:rsid w:val="00442ACE"/>
    <w:rsid w:val="00442D0D"/>
    <w:rsid w:val="0044301F"/>
    <w:rsid w:val="00445310"/>
    <w:rsid w:val="0044781E"/>
    <w:rsid w:val="00452128"/>
    <w:rsid w:val="0045359F"/>
    <w:rsid w:val="004539C1"/>
    <w:rsid w:val="00453C2A"/>
    <w:rsid w:val="00455DBD"/>
    <w:rsid w:val="00456D12"/>
    <w:rsid w:val="004577FE"/>
    <w:rsid w:val="00462004"/>
    <w:rsid w:val="00462137"/>
    <w:rsid w:val="004634FD"/>
    <w:rsid w:val="0046672D"/>
    <w:rsid w:val="00470E86"/>
    <w:rsid w:val="00471722"/>
    <w:rsid w:val="00471D66"/>
    <w:rsid w:val="004727FB"/>
    <w:rsid w:val="00472ED4"/>
    <w:rsid w:val="00475D81"/>
    <w:rsid w:val="00475F15"/>
    <w:rsid w:val="00475FAA"/>
    <w:rsid w:val="00476C6B"/>
    <w:rsid w:val="004806DC"/>
    <w:rsid w:val="004809E7"/>
    <w:rsid w:val="00480AF4"/>
    <w:rsid w:val="00482E32"/>
    <w:rsid w:val="00484E6B"/>
    <w:rsid w:val="00487407"/>
    <w:rsid w:val="00487922"/>
    <w:rsid w:val="004908A5"/>
    <w:rsid w:val="004910AC"/>
    <w:rsid w:val="0049251B"/>
    <w:rsid w:val="004938E7"/>
    <w:rsid w:val="004946C7"/>
    <w:rsid w:val="00494E2A"/>
    <w:rsid w:val="00496391"/>
    <w:rsid w:val="00496566"/>
    <w:rsid w:val="00496F19"/>
    <w:rsid w:val="004979BB"/>
    <w:rsid w:val="004A2E1B"/>
    <w:rsid w:val="004A3AAA"/>
    <w:rsid w:val="004A3AC2"/>
    <w:rsid w:val="004A40F2"/>
    <w:rsid w:val="004A4ADA"/>
    <w:rsid w:val="004A7889"/>
    <w:rsid w:val="004A7FDE"/>
    <w:rsid w:val="004B10FA"/>
    <w:rsid w:val="004B124D"/>
    <w:rsid w:val="004B1D03"/>
    <w:rsid w:val="004B287E"/>
    <w:rsid w:val="004B2F01"/>
    <w:rsid w:val="004B44C8"/>
    <w:rsid w:val="004B4955"/>
    <w:rsid w:val="004B5464"/>
    <w:rsid w:val="004B71D6"/>
    <w:rsid w:val="004B7EE3"/>
    <w:rsid w:val="004B7FF0"/>
    <w:rsid w:val="004C2B5B"/>
    <w:rsid w:val="004C30D4"/>
    <w:rsid w:val="004C3630"/>
    <w:rsid w:val="004C375E"/>
    <w:rsid w:val="004C5C56"/>
    <w:rsid w:val="004D2037"/>
    <w:rsid w:val="004D2F64"/>
    <w:rsid w:val="004D5C4F"/>
    <w:rsid w:val="004D7D5E"/>
    <w:rsid w:val="004E260C"/>
    <w:rsid w:val="004E2D6D"/>
    <w:rsid w:val="004E322A"/>
    <w:rsid w:val="004E3606"/>
    <w:rsid w:val="004E4352"/>
    <w:rsid w:val="004E4701"/>
    <w:rsid w:val="004E49C0"/>
    <w:rsid w:val="004E4A18"/>
    <w:rsid w:val="004E4D31"/>
    <w:rsid w:val="004E5185"/>
    <w:rsid w:val="004E5707"/>
    <w:rsid w:val="004E5F39"/>
    <w:rsid w:val="004E6077"/>
    <w:rsid w:val="004E621C"/>
    <w:rsid w:val="004E71D5"/>
    <w:rsid w:val="004F2742"/>
    <w:rsid w:val="004F2FD7"/>
    <w:rsid w:val="004F444F"/>
    <w:rsid w:val="004F7062"/>
    <w:rsid w:val="005019C7"/>
    <w:rsid w:val="0050540F"/>
    <w:rsid w:val="005078E0"/>
    <w:rsid w:val="0051029A"/>
    <w:rsid w:val="00514832"/>
    <w:rsid w:val="0051501D"/>
    <w:rsid w:val="0052088E"/>
    <w:rsid w:val="0052147D"/>
    <w:rsid w:val="005217D2"/>
    <w:rsid w:val="00523ECD"/>
    <w:rsid w:val="00525D48"/>
    <w:rsid w:val="00526E3C"/>
    <w:rsid w:val="00527597"/>
    <w:rsid w:val="00527943"/>
    <w:rsid w:val="00527CC7"/>
    <w:rsid w:val="005303BB"/>
    <w:rsid w:val="0053062A"/>
    <w:rsid w:val="00530D98"/>
    <w:rsid w:val="0053383B"/>
    <w:rsid w:val="00533A67"/>
    <w:rsid w:val="00534032"/>
    <w:rsid w:val="00534263"/>
    <w:rsid w:val="005363FC"/>
    <w:rsid w:val="005408BD"/>
    <w:rsid w:val="00541036"/>
    <w:rsid w:val="005423A7"/>
    <w:rsid w:val="00542E33"/>
    <w:rsid w:val="0054753A"/>
    <w:rsid w:val="00550A47"/>
    <w:rsid w:val="00550FE1"/>
    <w:rsid w:val="00552337"/>
    <w:rsid w:val="005533C6"/>
    <w:rsid w:val="005552B6"/>
    <w:rsid w:val="005563D5"/>
    <w:rsid w:val="00556510"/>
    <w:rsid w:val="005578AA"/>
    <w:rsid w:val="00557ECD"/>
    <w:rsid w:val="005600B4"/>
    <w:rsid w:val="00560CE1"/>
    <w:rsid w:val="005631B9"/>
    <w:rsid w:val="0056336F"/>
    <w:rsid w:val="00564817"/>
    <w:rsid w:val="00564FBF"/>
    <w:rsid w:val="005660E2"/>
    <w:rsid w:val="005665C4"/>
    <w:rsid w:val="005702A2"/>
    <w:rsid w:val="00570C20"/>
    <w:rsid w:val="0057512D"/>
    <w:rsid w:val="005756C3"/>
    <w:rsid w:val="005770C6"/>
    <w:rsid w:val="0057747E"/>
    <w:rsid w:val="00580A5B"/>
    <w:rsid w:val="005825E2"/>
    <w:rsid w:val="00584C30"/>
    <w:rsid w:val="00586B59"/>
    <w:rsid w:val="0058744E"/>
    <w:rsid w:val="00587FA1"/>
    <w:rsid w:val="005915EA"/>
    <w:rsid w:val="0059170C"/>
    <w:rsid w:val="0059281B"/>
    <w:rsid w:val="00592AD3"/>
    <w:rsid w:val="00592D7F"/>
    <w:rsid w:val="00593998"/>
    <w:rsid w:val="0059449F"/>
    <w:rsid w:val="00595BE3"/>
    <w:rsid w:val="0059670F"/>
    <w:rsid w:val="00596B36"/>
    <w:rsid w:val="00597F25"/>
    <w:rsid w:val="005A011E"/>
    <w:rsid w:val="005A036D"/>
    <w:rsid w:val="005A1838"/>
    <w:rsid w:val="005A1C09"/>
    <w:rsid w:val="005A3621"/>
    <w:rsid w:val="005A3D35"/>
    <w:rsid w:val="005A5D12"/>
    <w:rsid w:val="005A6B04"/>
    <w:rsid w:val="005A73EF"/>
    <w:rsid w:val="005A7C47"/>
    <w:rsid w:val="005B1AA7"/>
    <w:rsid w:val="005B62D4"/>
    <w:rsid w:val="005B6BB2"/>
    <w:rsid w:val="005B73F6"/>
    <w:rsid w:val="005C08C2"/>
    <w:rsid w:val="005C0C5B"/>
    <w:rsid w:val="005C0E23"/>
    <w:rsid w:val="005C0F7E"/>
    <w:rsid w:val="005C18A9"/>
    <w:rsid w:val="005C1ADF"/>
    <w:rsid w:val="005C2B72"/>
    <w:rsid w:val="005C3529"/>
    <w:rsid w:val="005C36AB"/>
    <w:rsid w:val="005C3E70"/>
    <w:rsid w:val="005D05AD"/>
    <w:rsid w:val="005D1ADE"/>
    <w:rsid w:val="005D34AE"/>
    <w:rsid w:val="005D3621"/>
    <w:rsid w:val="005D3D82"/>
    <w:rsid w:val="005D3EA3"/>
    <w:rsid w:val="005D5599"/>
    <w:rsid w:val="005D69BE"/>
    <w:rsid w:val="005D79A3"/>
    <w:rsid w:val="005E13DD"/>
    <w:rsid w:val="005E2E8F"/>
    <w:rsid w:val="005E41EF"/>
    <w:rsid w:val="005E58AF"/>
    <w:rsid w:val="005E61BA"/>
    <w:rsid w:val="005E6250"/>
    <w:rsid w:val="005E6D8E"/>
    <w:rsid w:val="005E7E8B"/>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934"/>
    <w:rsid w:val="006069E3"/>
    <w:rsid w:val="00606C52"/>
    <w:rsid w:val="00610C3A"/>
    <w:rsid w:val="00610E7C"/>
    <w:rsid w:val="00611518"/>
    <w:rsid w:val="00613B5F"/>
    <w:rsid w:val="00616266"/>
    <w:rsid w:val="00620666"/>
    <w:rsid w:val="00623815"/>
    <w:rsid w:val="00625B43"/>
    <w:rsid w:val="00630A3F"/>
    <w:rsid w:val="006311E7"/>
    <w:rsid w:val="00631F21"/>
    <w:rsid w:val="00632F4D"/>
    <w:rsid w:val="00634A85"/>
    <w:rsid w:val="00636F11"/>
    <w:rsid w:val="00637406"/>
    <w:rsid w:val="00640605"/>
    <w:rsid w:val="0064224D"/>
    <w:rsid w:val="00642916"/>
    <w:rsid w:val="00642A4C"/>
    <w:rsid w:val="00644722"/>
    <w:rsid w:val="00644C1C"/>
    <w:rsid w:val="00645588"/>
    <w:rsid w:val="006460C2"/>
    <w:rsid w:val="006461B0"/>
    <w:rsid w:val="006469C5"/>
    <w:rsid w:val="00647FCC"/>
    <w:rsid w:val="00650960"/>
    <w:rsid w:val="00651341"/>
    <w:rsid w:val="006514D3"/>
    <w:rsid w:val="006532B2"/>
    <w:rsid w:val="00657BE3"/>
    <w:rsid w:val="0066123B"/>
    <w:rsid w:val="0066223C"/>
    <w:rsid w:val="00662672"/>
    <w:rsid w:val="00662E88"/>
    <w:rsid w:val="00663512"/>
    <w:rsid w:val="00663863"/>
    <w:rsid w:val="00663A49"/>
    <w:rsid w:val="006677FD"/>
    <w:rsid w:val="00667BFF"/>
    <w:rsid w:val="0067037B"/>
    <w:rsid w:val="00670F8A"/>
    <w:rsid w:val="00671CFE"/>
    <w:rsid w:val="006725D1"/>
    <w:rsid w:val="00673257"/>
    <w:rsid w:val="0067348F"/>
    <w:rsid w:val="0067542A"/>
    <w:rsid w:val="00676748"/>
    <w:rsid w:val="00677189"/>
    <w:rsid w:val="00680A9A"/>
    <w:rsid w:val="00680C46"/>
    <w:rsid w:val="0068408A"/>
    <w:rsid w:val="0068418D"/>
    <w:rsid w:val="0068531F"/>
    <w:rsid w:val="006863FD"/>
    <w:rsid w:val="0068763D"/>
    <w:rsid w:val="00687B2F"/>
    <w:rsid w:val="00690EF0"/>
    <w:rsid w:val="006920B7"/>
    <w:rsid w:val="00695741"/>
    <w:rsid w:val="00695C3A"/>
    <w:rsid w:val="00695EB6"/>
    <w:rsid w:val="006A4BFA"/>
    <w:rsid w:val="006A6170"/>
    <w:rsid w:val="006A64E7"/>
    <w:rsid w:val="006A7B58"/>
    <w:rsid w:val="006A7E6E"/>
    <w:rsid w:val="006B10F0"/>
    <w:rsid w:val="006B1153"/>
    <w:rsid w:val="006B1C68"/>
    <w:rsid w:val="006B1D99"/>
    <w:rsid w:val="006B498E"/>
    <w:rsid w:val="006B537E"/>
    <w:rsid w:val="006B56CA"/>
    <w:rsid w:val="006C1CE7"/>
    <w:rsid w:val="006C319C"/>
    <w:rsid w:val="006C36BF"/>
    <w:rsid w:val="006C6C8F"/>
    <w:rsid w:val="006D1E0E"/>
    <w:rsid w:val="006D3AFE"/>
    <w:rsid w:val="006D611C"/>
    <w:rsid w:val="006D678C"/>
    <w:rsid w:val="006D7247"/>
    <w:rsid w:val="006E10CA"/>
    <w:rsid w:val="006E36E8"/>
    <w:rsid w:val="006E54B0"/>
    <w:rsid w:val="006E54CB"/>
    <w:rsid w:val="006E688D"/>
    <w:rsid w:val="006E78B7"/>
    <w:rsid w:val="006F19AD"/>
    <w:rsid w:val="006F24F0"/>
    <w:rsid w:val="006F2AAB"/>
    <w:rsid w:val="006F369C"/>
    <w:rsid w:val="006F3C5B"/>
    <w:rsid w:val="006F3DC9"/>
    <w:rsid w:val="006F44FF"/>
    <w:rsid w:val="006F6478"/>
    <w:rsid w:val="00701DAE"/>
    <w:rsid w:val="00705496"/>
    <w:rsid w:val="00706D87"/>
    <w:rsid w:val="007078CA"/>
    <w:rsid w:val="00710868"/>
    <w:rsid w:val="0071300D"/>
    <w:rsid w:val="00713D64"/>
    <w:rsid w:val="007141B4"/>
    <w:rsid w:val="00714AA2"/>
    <w:rsid w:val="00715E3F"/>
    <w:rsid w:val="007225E7"/>
    <w:rsid w:val="00725D57"/>
    <w:rsid w:val="007277CF"/>
    <w:rsid w:val="00727DCD"/>
    <w:rsid w:val="00730C76"/>
    <w:rsid w:val="007334C7"/>
    <w:rsid w:val="0073405C"/>
    <w:rsid w:val="007341F1"/>
    <w:rsid w:val="0073615D"/>
    <w:rsid w:val="00736472"/>
    <w:rsid w:val="00736E05"/>
    <w:rsid w:val="00736E36"/>
    <w:rsid w:val="0073706B"/>
    <w:rsid w:val="00743A83"/>
    <w:rsid w:val="0074550E"/>
    <w:rsid w:val="00745F3A"/>
    <w:rsid w:val="00746F20"/>
    <w:rsid w:val="0075074D"/>
    <w:rsid w:val="00750AB2"/>
    <w:rsid w:val="0075285C"/>
    <w:rsid w:val="0075302E"/>
    <w:rsid w:val="00756100"/>
    <w:rsid w:val="00757C62"/>
    <w:rsid w:val="007614CE"/>
    <w:rsid w:val="00762B30"/>
    <w:rsid w:val="00763429"/>
    <w:rsid w:val="0076428D"/>
    <w:rsid w:val="00764589"/>
    <w:rsid w:val="00764EF6"/>
    <w:rsid w:val="00765EAF"/>
    <w:rsid w:val="007660D7"/>
    <w:rsid w:val="00766226"/>
    <w:rsid w:val="0077008A"/>
    <w:rsid w:val="007709BD"/>
    <w:rsid w:val="00771D5B"/>
    <w:rsid w:val="00771E72"/>
    <w:rsid w:val="00773818"/>
    <w:rsid w:val="00774FE6"/>
    <w:rsid w:val="00777D1D"/>
    <w:rsid w:val="007816D7"/>
    <w:rsid w:val="0078394C"/>
    <w:rsid w:val="0078406C"/>
    <w:rsid w:val="00784A62"/>
    <w:rsid w:val="00786A7E"/>
    <w:rsid w:val="00787BB1"/>
    <w:rsid w:val="00792036"/>
    <w:rsid w:val="007A026D"/>
    <w:rsid w:val="007A1383"/>
    <w:rsid w:val="007A1BF8"/>
    <w:rsid w:val="007A203B"/>
    <w:rsid w:val="007A2B36"/>
    <w:rsid w:val="007A3703"/>
    <w:rsid w:val="007A38EA"/>
    <w:rsid w:val="007A6A2C"/>
    <w:rsid w:val="007A776D"/>
    <w:rsid w:val="007A7B79"/>
    <w:rsid w:val="007B0C9E"/>
    <w:rsid w:val="007B2582"/>
    <w:rsid w:val="007B3B90"/>
    <w:rsid w:val="007B441C"/>
    <w:rsid w:val="007B4586"/>
    <w:rsid w:val="007B48D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3A56"/>
    <w:rsid w:val="007D52A7"/>
    <w:rsid w:val="007D5691"/>
    <w:rsid w:val="007D7722"/>
    <w:rsid w:val="007E33D5"/>
    <w:rsid w:val="007E3435"/>
    <w:rsid w:val="007E4356"/>
    <w:rsid w:val="007E4BA1"/>
    <w:rsid w:val="007E53C0"/>
    <w:rsid w:val="007E77D5"/>
    <w:rsid w:val="007F13C1"/>
    <w:rsid w:val="007F1C75"/>
    <w:rsid w:val="007F1DD9"/>
    <w:rsid w:val="007F2157"/>
    <w:rsid w:val="007F2C81"/>
    <w:rsid w:val="007F4627"/>
    <w:rsid w:val="007F479C"/>
    <w:rsid w:val="007F52CC"/>
    <w:rsid w:val="007F5850"/>
    <w:rsid w:val="007F5B8A"/>
    <w:rsid w:val="007F5C5C"/>
    <w:rsid w:val="007F5F75"/>
    <w:rsid w:val="00800E75"/>
    <w:rsid w:val="00801FE3"/>
    <w:rsid w:val="00805DAA"/>
    <w:rsid w:val="008077B7"/>
    <w:rsid w:val="00811C9D"/>
    <w:rsid w:val="00812152"/>
    <w:rsid w:val="00812FE2"/>
    <w:rsid w:val="0081431F"/>
    <w:rsid w:val="00815E67"/>
    <w:rsid w:val="0082031C"/>
    <w:rsid w:val="00821C1A"/>
    <w:rsid w:val="00822FAB"/>
    <w:rsid w:val="00823CD6"/>
    <w:rsid w:val="008244C8"/>
    <w:rsid w:val="00825824"/>
    <w:rsid w:val="00826B61"/>
    <w:rsid w:val="0082713D"/>
    <w:rsid w:val="00827DAC"/>
    <w:rsid w:val="00831A8B"/>
    <w:rsid w:val="008320E8"/>
    <w:rsid w:val="00833430"/>
    <w:rsid w:val="008351F1"/>
    <w:rsid w:val="008376BA"/>
    <w:rsid w:val="008421A4"/>
    <w:rsid w:val="008433C1"/>
    <w:rsid w:val="00844CB7"/>
    <w:rsid w:val="0084505E"/>
    <w:rsid w:val="00845614"/>
    <w:rsid w:val="00845A43"/>
    <w:rsid w:val="008461E6"/>
    <w:rsid w:val="00846DB1"/>
    <w:rsid w:val="0084768D"/>
    <w:rsid w:val="008518BD"/>
    <w:rsid w:val="0085265C"/>
    <w:rsid w:val="0085267E"/>
    <w:rsid w:val="00853D91"/>
    <w:rsid w:val="008562D6"/>
    <w:rsid w:val="008611E0"/>
    <w:rsid w:val="00861259"/>
    <w:rsid w:val="00861586"/>
    <w:rsid w:val="00863D94"/>
    <w:rsid w:val="00864270"/>
    <w:rsid w:val="00864596"/>
    <w:rsid w:val="00864F9C"/>
    <w:rsid w:val="008660A0"/>
    <w:rsid w:val="00866652"/>
    <w:rsid w:val="0087049B"/>
    <w:rsid w:val="008706BA"/>
    <w:rsid w:val="00870FEF"/>
    <w:rsid w:val="00873123"/>
    <w:rsid w:val="008736E0"/>
    <w:rsid w:val="00875BDA"/>
    <w:rsid w:val="00876216"/>
    <w:rsid w:val="00876B10"/>
    <w:rsid w:val="00880434"/>
    <w:rsid w:val="00881E49"/>
    <w:rsid w:val="0088326E"/>
    <w:rsid w:val="00883E79"/>
    <w:rsid w:val="00885B17"/>
    <w:rsid w:val="00886E0F"/>
    <w:rsid w:val="008875C2"/>
    <w:rsid w:val="00887669"/>
    <w:rsid w:val="0088789B"/>
    <w:rsid w:val="00894BA2"/>
    <w:rsid w:val="00895CAB"/>
    <w:rsid w:val="00897B7C"/>
    <w:rsid w:val="008A0443"/>
    <w:rsid w:val="008A3961"/>
    <w:rsid w:val="008A5667"/>
    <w:rsid w:val="008A7A2B"/>
    <w:rsid w:val="008B0535"/>
    <w:rsid w:val="008B0C0E"/>
    <w:rsid w:val="008B157A"/>
    <w:rsid w:val="008B26C6"/>
    <w:rsid w:val="008B2BC3"/>
    <w:rsid w:val="008B4AAC"/>
    <w:rsid w:val="008B6563"/>
    <w:rsid w:val="008B67C2"/>
    <w:rsid w:val="008B7473"/>
    <w:rsid w:val="008C190B"/>
    <w:rsid w:val="008C1FCC"/>
    <w:rsid w:val="008C2236"/>
    <w:rsid w:val="008C29BE"/>
    <w:rsid w:val="008C2AC4"/>
    <w:rsid w:val="008C61C1"/>
    <w:rsid w:val="008C62C6"/>
    <w:rsid w:val="008C65A1"/>
    <w:rsid w:val="008C6627"/>
    <w:rsid w:val="008C668E"/>
    <w:rsid w:val="008C708B"/>
    <w:rsid w:val="008C7D3F"/>
    <w:rsid w:val="008D0816"/>
    <w:rsid w:val="008D1485"/>
    <w:rsid w:val="008D1655"/>
    <w:rsid w:val="008D2849"/>
    <w:rsid w:val="008D288A"/>
    <w:rsid w:val="008D2CA4"/>
    <w:rsid w:val="008D3325"/>
    <w:rsid w:val="008D3DCF"/>
    <w:rsid w:val="008D57F5"/>
    <w:rsid w:val="008D6519"/>
    <w:rsid w:val="008D6B42"/>
    <w:rsid w:val="008D7AF6"/>
    <w:rsid w:val="008E0D97"/>
    <w:rsid w:val="008E1C08"/>
    <w:rsid w:val="008E450F"/>
    <w:rsid w:val="008E4CDB"/>
    <w:rsid w:val="008E6B64"/>
    <w:rsid w:val="008E6F78"/>
    <w:rsid w:val="008E7F83"/>
    <w:rsid w:val="008F0685"/>
    <w:rsid w:val="008F0918"/>
    <w:rsid w:val="008F0C19"/>
    <w:rsid w:val="008F3745"/>
    <w:rsid w:val="008F549C"/>
    <w:rsid w:val="008F5B6A"/>
    <w:rsid w:val="008F5DFF"/>
    <w:rsid w:val="008F65EB"/>
    <w:rsid w:val="008F7F30"/>
    <w:rsid w:val="00901945"/>
    <w:rsid w:val="00902813"/>
    <w:rsid w:val="00902B09"/>
    <w:rsid w:val="00906D04"/>
    <w:rsid w:val="00907CA1"/>
    <w:rsid w:val="00910520"/>
    <w:rsid w:val="009107AF"/>
    <w:rsid w:val="00914170"/>
    <w:rsid w:val="00914376"/>
    <w:rsid w:val="00914412"/>
    <w:rsid w:val="009145A7"/>
    <w:rsid w:val="009156C0"/>
    <w:rsid w:val="00923748"/>
    <w:rsid w:val="0092492E"/>
    <w:rsid w:val="00931091"/>
    <w:rsid w:val="00931CDE"/>
    <w:rsid w:val="00931DF6"/>
    <w:rsid w:val="009320F9"/>
    <w:rsid w:val="00937DE3"/>
    <w:rsid w:val="00942ADD"/>
    <w:rsid w:val="00943D5B"/>
    <w:rsid w:val="009447CA"/>
    <w:rsid w:val="00950EFA"/>
    <w:rsid w:val="00953B23"/>
    <w:rsid w:val="00953E85"/>
    <w:rsid w:val="0095401D"/>
    <w:rsid w:val="009543A1"/>
    <w:rsid w:val="00954688"/>
    <w:rsid w:val="0095568B"/>
    <w:rsid w:val="00960202"/>
    <w:rsid w:val="0096292B"/>
    <w:rsid w:val="00972BBA"/>
    <w:rsid w:val="00973752"/>
    <w:rsid w:val="0097400A"/>
    <w:rsid w:val="00974CAF"/>
    <w:rsid w:val="00975DBE"/>
    <w:rsid w:val="00980724"/>
    <w:rsid w:val="00980D20"/>
    <w:rsid w:val="00981964"/>
    <w:rsid w:val="00983058"/>
    <w:rsid w:val="00984946"/>
    <w:rsid w:val="00984E73"/>
    <w:rsid w:val="00985138"/>
    <w:rsid w:val="0098605C"/>
    <w:rsid w:val="0098621A"/>
    <w:rsid w:val="00986667"/>
    <w:rsid w:val="009905E4"/>
    <w:rsid w:val="00990C36"/>
    <w:rsid w:val="009918B8"/>
    <w:rsid w:val="00992211"/>
    <w:rsid w:val="009938EE"/>
    <w:rsid w:val="00994FD5"/>
    <w:rsid w:val="00995200"/>
    <w:rsid w:val="00995425"/>
    <w:rsid w:val="0099640F"/>
    <w:rsid w:val="009968D1"/>
    <w:rsid w:val="00997DDB"/>
    <w:rsid w:val="009A0040"/>
    <w:rsid w:val="009A0233"/>
    <w:rsid w:val="009A052A"/>
    <w:rsid w:val="009A07EC"/>
    <w:rsid w:val="009A2BB3"/>
    <w:rsid w:val="009A2FD5"/>
    <w:rsid w:val="009A3E99"/>
    <w:rsid w:val="009A469F"/>
    <w:rsid w:val="009A58F4"/>
    <w:rsid w:val="009A603D"/>
    <w:rsid w:val="009A6B38"/>
    <w:rsid w:val="009A6C41"/>
    <w:rsid w:val="009B5DA5"/>
    <w:rsid w:val="009B6CD6"/>
    <w:rsid w:val="009C1D27"/>
    <w:rsid w:val="009C2050"/>
    <w:rsid w:val="009C339A"/>
    <w:rsid w:val="009C48A9"/>
    <w:rsid w:val="009C56F6"/>
    <w:rsid w:val="009C62AC"/>
    <w:rsid w:val="009C6A74"/>
    <w:rsid w:val="009D1123"/>
    <w:rsid w:val="009D2919"/>
    <w:rsid w:val="009D291A"/>
    <w:rsid w:val="009D34E1"/>
    <w:rsid w:val="009D3717"/>
    <w:rsid w:val="009D3A58"/>
    <w:rsid w:val="009D6D00"/>
    <w:rsid w:val="009D7C97"/>
    <w:rsid w:val="009E0130"/>
    <w:rsid w:val="009E30D8"/>
    <w:rsid w:val="009E623F"/>
    <w:rsid w:val="009E6413"/>
    <w:rsid w:val="009E6B61"/>
    <w:rsid w:val="009F06F6"/>
    <w:rsid w:val="009F495B"/>
    <w:rsid w:val="009F4EBD"/>
    <w:rsid w:val="009F682D"/>
    <w:rsid w:val="00A02EAA"/>
    <w:rsid w:val="00A04D07"/>
    <w:rsid w:val="00A0544E"/>
    <w:rsid w:val="00A103DC"/>
    <w:rsid w:val="00A10C2C"/>
    <w:rsid w:val="00A11E1D"/>
    <w:rsid w:val="00A13109"/>
    <w:rsid w:val="00A1349D"/>
    <w:rsid w:val="00A1487C"/>
    <w:rsid w:val="00A15D4A"/>
    <w:rsid w:val="00A167C7"/>
    <w:rsid w:val="00A176FE"/>
    <w:rsid w:val="00A17D63"/>
    <w:rsid w:val="00A2007A"/>
    <w:rsid w:val="00A20A8B"/>
    <w:rsid w:val="00A20B02"/>
    <w:rsid w:val="00A21007"/>
    <w:rsid w:val="00A21EBF"/>
    <w:rsid w:val="00A22186"/>
    <w:rsid w:val="00A22811"/>
    <w:rsid w:val="00A24679"/>
    <w:rsid w:val="00A248D2"/>
    <w:rsid w:val="00A24CB6"/>
    <w:rsid w:val="00A24CD1"/>
    <w:rsid w:val="00A256C4"/>
    <w:rsid w:val="00A26394"/>
    <w:rsid w:val="00A27444"/>
    <w:rsid w:val="00A27885"/>
    <w:rsid w:val="00A30C84"/>
    <w:rsid w:val="00A32CA1"/>
    <w:rsid w:val="00A34A99"/>
    <w:rsid w:val="00A35DA0"/>
    <w:rsid w:val="00A37916"/>
    <w:rsid w:val="00A41088"/>
    <w:rsid w:val="00A414EA"/>
    <w:rsid w:val="00A45408"/>
    <w:rsid w:val="00A45A33"/>
    <w:rsid w:val="00A45DAA"/>
    <w:rsid w:val="00A524BB"/>
    <w:rsid w:val="00A54625"/>
    <w:rsid w:val="00A55CCE"/>
    <w:rsid w:val="00A574BF"/>
    <w:rsid w:val="00A57D0F"/>
    <w:rsid w:val="00A60368"/>
    <w:rsid w:val="00A62AC4"/>
    <w:rsid w:val="00A638E7"/>
    <w:rsid w:val="00A65B32"/>
    <w:rsid w:val="00A66980"/>
    <w:rsid w:val="00A676EF"/>
    <w:rsid w:val="00A7021A"/>
    <w:rsid w:val="00A70412"/>
    <w:rsid w:val="00A70E8F"/>
    <w:rsid w:val="00A71CA8"/>
    <w:rsid w:val="00A726C5"/>
    <w:rsid w:val="00A729EB"/>
    <w:rsid w:val="00A77072"/>
    <w:rsid w:val="00A7708D"/>
    <w:rsid w:val="00A77D2A"/>
    <w:rsid w:val="00A814C9"/>
    <w:rsid w:val="00A82DBA"/>
    <w:rsid w:val="00A844C3"/>
    <w:rsid w:val="00A8565B"/>
    <w:rsid w:val="00A8651D"/>
    <w:rsid w:val="00A90385"/>
    <w:rsid w:val="00A90BF9"/>
    <w:rsid w:val="00A9240D"/>
    <w:rsid w:val="00A92578"/>
    <w:rsid w:val="00A9375E"/>
    <w:rsid w:val="00A9444B"/>
    <w:rsid w:val="00A94E4B"/>
    <w:rsid w:val="00A952F7"/>
    <w:rsid w:val="00A9594C"/>
    <w:rsid w:val="00A96860"/>
    <w:rsid w:val="00A96889"/>
    <w:rsid w:val="00AA13F1"/>
    <w:rsid w:val="00AA3A69"/>
    <w:rsid w:val="00AA530F"/>
    <w:rsid w:val="00AA6155"/>
    <w:rsid w:val="00AB0314"/>
    <w:rsid w:val="00AB12C3"/>
    <w:rsid w:val="00AB1B09"/>
    <w:rsid w:val="00AB2B7C"/>
    <w:rsid w:val="00AB34AB"/>
    <w:rsid w:val="00AB43CC"/>
    <w:rsid w:val="00AB6D1E"/>
    <w:rsid w:val="00AB74A4"/>
    <w:rsid w:val="00AC0BE3"/>
    <w:rsid w:val="00AC17DC"/>
    <w:rsid w:val="00AC2B40"/>
    <w:rsid w:val="00AC491B"/>
    <w:rsid w:val="00AC70A5"/>
    <w:rsid w:val="00AC72FE"/>
    <w:rsid w:val="00AC7A9F"/>
    <w:rsid w:val="00AD1462"/>
    <w:rsid w:val="00AD294E"/>
    <w:rsid w:val="00AD4661"/>
    <w:rsid w:val="00AD6505"/>
    <w:rsid w:val="00AD6DAC"/>
    <w:rsid w:val="00AD7C82"/>
    <w:rsid w:val="00AE15AF"/>
    <w:rsid w:val="00AE17AA"/>
    <w:rsid w:val="00AE2248"/>
    <w:rsid w:val="00AE3BA7"/>
    <w:rsid w:val="00AE6503"/>
    <w:rsid w:val="00AF0130"/>
    <w:rsid w:val="00AF041A"/>
    <w:rsid w:val="00AF0951"/>
    <w:rsid w:val="00AF1134"/>
    <w:rsid w:val="00AF3A6C"/>
    <w:rsid w:val="00AF514C"/>
    <w:rsid w:val="00AF51AD"/>
    <w:rsid w:val="00AF533E"/>
    <w:rsid w:val="00AF6591"/>
    <w:rsid w:val="00AF7E1B"/>
    <w:rsid w:val="00B020D6"/>
    <w:rsid w:val="00B030CB"/>
    <w:rsid w:val="00B048DC"/>
    <w:rsid w:val="00B06DBF"/>
    <w:rsid w:val="00B0738A"/>
    <w:rsid w:val="00B116FA"/>
    <w:rsid w:val="00B11E2C"/>
    <w:rsid w:val="00B13163"/>
    <w:rsid w:val="00B13212"/>
    <w:rsid w:val="00B15465"/>
    <w:rsid w:val="00B15952"/>
    <w:rsid w:val="00B16538"/>
    <w:rsid w:val="00B17011"/>
    <w:rsid w:val="00B20055"/>
    <w:rsid w:val="00B2040A"/>
    <w:rsid w:val="00B20F33"/>
    <w:rsid w:val="00B20F45"/>
    <w:rsid w:val="00B22B33"/>
    <w:rsid w:val="00B22C9B"/>
    <w:rsid w:val="00B23D48"/>
    <w:rsid w:val="00B25248"/>
    <w:rsid w:val="00B25D5E"/>
    <w:rsid w:val="00B2602A"/>
    <w:rsid w:val="00B30F06"/>
    <w:rsid w:val="00B32654"/>
    <w:rsid w:val="00B32FC7"/>
    <w:rsid w:val="00B339E3"/>
    <w:rsid w:val="00B33FAC"/>
    <w:rsid w:val="00B36088"/>
    <w:rsid w:val="00B3719F"/>
    <w:rsid w:val="00B37D05"/>
    <w:rsid w:val="00B44EC3"/>
    <w:rsid w:val="00B451DC"/>
    <w:rsid w:val="00B45692"/>
    <w:rsid w:val="00B456DE"/>
    <w:rsid w:val="00B4682E"/>
    <w:rsid w:val="00B5057B"/>
    <w:rsid w:val="00B50992"/>
    <w:rsid w:val="00B5584D"/>
    <w:rsid w:val="00B56CE1"/>
    <w:rsid w:val="00B57D89"/>
    <w:rsid w:val="00B57FDB"/>
    <w:rsid w:val="00B6108A"/>
    <w:rsid w:val="00B619C8"/>
    <w:rsid w:val="00B62E9C"/>
    <w:rsid w:val="00B660A8"/>
    <w:rsid w:val="00B70872"/>
    <w:rsid w:val="00B70C8F"/>
    <w:rsid w:val="00B72211"/>
    <w:rsid w:val="00B72AC1"/>
    <w:rsid w:val="00B72C19"/>
    <w:rsid w:val="00B73CD3"/>
    <w:rsid w:val="00B752AF"/>
    <w:rsid w:val="00B759E4"/>
    <w:rsid w:val="00B75E23"/>
    <w:rsid w:val="00B7619C"/>
    <w:rsid w:val="00B779C0"/>
    <w:rsid w:val="00B80EB4"/>
    <w:rsid w:val="00B8281B"/>
    <w:rsid w:val="00B838D4"/>
    <w:rsid w:val="00B84752"/>
    <w:rsid w:val="00B84FF1"/>
    <w:rsid w:val="00B868F3"/>
    <w:rsid w:val="00B87DA1"/>
    <w:rsid w:val="00B92A29"/>
    <w:rsid w:val="00B92C10"/>
    <w:rsid w:val="00B9356F"/>
    <w:rsid w:val="00B9387D"/>
    <w:rsid w:val="00B939F3"/>
    <w:rsid w:val="00B93F8F"/>
    <w:rsid w:val="00B942E9"/>
    <w:rsid w:val="00B95B07"/>
    <w:rsid w:val="00B9616E"/>
    <w:rsid w:val="00B9665C"/>
    <w:rsid w:val="00B97ADF"/>
    <w:rsid w:val="00BA0A15"/>
    <w:rsid w:val="00BA1009"/>
    <w:rsid w:val="00BA4DA6"/>
    <w:rsid w:val="00BA7235"/>
    <w:rsid w:val="00BB1463"/>
    <w:rsid w:val="00BB1FE1"/>
    <w:rsid w:val="00BB26C2"/>
    <w:rsid w:val="00BB2DC6"/>
    <w:rsid w:val="00BB40B0"/>
    <w:rsid w:val="00BB495F"/>
    <w:rsid w:val="00BB4BEB"/>
    <w:rsid w:val="00BC134E"/>
    <w:rsid w:val="00BC1A6B"/>
    <w:rsid w:val="00BC2529"/>
    <w:rsid w:val="00BC4FFF"/>
    <w:rsid w:val="00BC6286"/>
    <w:rsid w:val="00BC762A"/>
    <w:rsid w:val="00BD0740"/>
    <w:rsid w:val="00BD306B"/>
    <w:rsid w:val="00BD76A6"/>
    <w:rsid w:val="00BD7CFC"/>
    <w:rsid w:val="00BE002B"/>
    <w:rsid w:val="00BE05A3"/>
    <w:rsid w:val="00BE15F6"/>
    <w:rsid w:val="00BE2671"/>
    <w:rsid w:val="00BE4677"/>
    <w:rsid w:val="00BE51AA"/>
    <w:rsid w:val="00BE5C59"/>
    <w:rsid w:val="00BE6B54"/>
    <w:rsid w:val="00BE6CA1"/>
    <w:rsid w:val="00BE7282"/>
    <w:rsid w:val="00BF0056"/>
    <w:rsid w:val="00BF249B"/>
    <w:rsid w:val="00BF3135"/>
    <w:rsid w:val="00BF33CC"/>
    <w:rsid w:val="00BF42E7"/>
    <w:rsid w:val="00BF4D6C"/>
    <w:rsid w:val="00BF516B"/>
    <w:rsid w:val="00BF5662"/>
    <w:rsid w:val="00C0448F"/>
    <w:rsid w:val="00C04542"/>
    <w:rsid w:val="00C104A6"/>
    <w:rsid w:val="00C10CB3"/>
    <w:rsid w:val="00C10F2B"/>
    <w:rsid w:val="00C11839"/>
    <w:rsid w:val="00C13098"/>
    <w:rsid w:val="00C13375"/>
    <w:rsid w:val="00C13BA1"/>
    <w:rsid w:val="00C14C73"/>
    <w:rsid w:val="00C168D8"/>
    <w:rsid w:val="00C17DFE"/>
    <w:rsid w:val="00C20B93"/>
    <w:rsid w:val="00C21467"/>
    <w:rsid w:val="00C22D1D"/>
    <w:rsid w:val="00C22DB1"/>
    <w:rsid w:val="00C2532C"/>
    <w:rsid w:val="00C25E7C"/>
    <w:rsid w:val="00C25F81"/>
    <w:rsid w:val="00C27029"/>
    <w:rsid w:val="00C30B19"/>
    <w:rsid w:val="00C321EA"/>
    <w:rsid w:val="00C339F9"/>
    <w:rsid w:val="00C34036"/>
    <w:rsid w:val="00C367A7"/>
    <w:rsid w:val="00C37B46"/>
    <w:rsid w:val="00C41051"/>
    <w:rsid w:val="00C4140D"/>
    <w:rsid w:val="00C42D69"/>
    <w:rsid w:val="00C42E63"/>
    <w:rsid w:val="00C44DF1"/>
    <w:rsid w:val="00C46A11"/>
    <w:rsid w:val="00C473FC"/>
    <w:rsid w:val="00C47DF8"/>
    <w:rsid w:val="00C53547"/>
    <w:rsid w:val="00C53DC8"/>
    <w:rsid w:val="00C549CD"/>
    <w:rsid w:val="00C54A8F"/>
    <w:rsid w:val="00C5747F"/>
    <w:rsid w:val="00C577F3"/>
    <w:rsid w:val="00C63C94"/>
    <w:rsid w:val="00C63F0C"/>
    <w:rsid w:val="00C65C21"/>
    <w:rsid w:val="00C676CA"/>
    <w:rsid w:val="00C716FE"/>
    <w:rsid w:val="00C7187F"/>
    <w:rsid w:val="00C71D58"/>
    <w:rsid w:val="00C71E1A"/>
    <w:rsid w:val="00C7241E"/>
    <w:rsid w:val="00C72B93"/>
    <w:rsid w:val="00C72F59"/>
    <w:rsid w:val="00C7546A"/>
    <w:rsid w:val="00C75481"/>
    <w:rsid w:val="00C75CED"/>
    <w:rsid w:val="00C7655A"/>
    <w:rsid w:val="00C7697F"/>
    <w:rsid w:val="00C77239"/>
    <w:rsid w:val="00C77A0C"/>
    <w:rsid w:val="00C77EBA"/>
    <w:rsid w:val="00C8160F"/>
    <w:rsid w:val="00C87986"/>
    <w:rsid w:val="00C920DA"/>
    <w:rsid w:val="00CA2634"/>
    <w:rsid w:val="00CA3919"/>
    <w:rsid w:val="00CA4D20"/>
    <w:rsid w:val="00CA6225"/>
    <w:rsid w:val="00CA681F"/>
    <w:rsid w:val="00CA6A09"/>
    <w:rsid w:val="00CB363A"/>
    <w:rsid w:val="00CB41EF"/>
    <w:rsid w:val="00CB4AF4"/>
    <w:rsid w:val="00CB526D"/>
    <w:rsid w:val="00CB6001"/>
    <w:rsid w:val="00CC0DCA"/>
    <w:rsid w:val="00CC1B76"/>
    <w:rsid w:val="00CC2634"/>
    <w:rsid w:val="00CC2F0C"/>
    <w:rsid w:val="00CC512C"/>
    <w:rsid w:val="00CD00C9"/>
    <w:rsid w:val="00CD0707"/>
    <w:rsid w:val="00CD4D53"/>
    <w:rsid w:val="00CD61E9"/>
    <w:rsid w:val="00CD68D1"/>
    <w:rsid w:val="00CE0330"/>
    <w:rsid w:val="00CE1ED8"/>
    <w:rsid w:val="00CE46AB"/>
    <w:rsid w:val="00CE4D50"/>
    <w:rsid w:val="00CE5730"/>
    <w:rsid w:val="00CE7AF8"/>
    <w:rsid w:val="00CF001C"/>
    <w:rsid w:val="00CF091F"/>
    <w:rsid w:val="00CF0973"/>
    <w:rsid w:val="00CF155B"/>
    <w:rsid w:val="00CF2321"/>
    <w:rsid w:val="00CF32C9"/>
    <w:rsid w:val="00CF7AE7"/>
    <w:rsid w:val="00D02993"/>
    <w:rsid w:val="00D02E50"/>
    <w:rsid w:val="00D03ACF"/>
    <w:rsid w:val="00D057F1"/>
    <w:rsid w:val="00D05DD9"/>
    <w:rsid w:val="00D0622E"/>
    <w:rsid w:val="00D13E7C"/>
    <w:rsid w:val="00D16F17"/>
    <w:rsid w:val="00D2111E"/>
    <w:rsid w:val="00D21750"/>
    <w:rsid w:val="00D21FBF"/>
    <w:rsid w:val="00D22C85"/>
    <w:rsid w:val="00D24248"/>
    <w:rsid w:val="00D24535"/>
    <w:rsid w:val="00D24944"/>
    <w:rsid w:val="00D24A68"/>
    <w:rsid w:val="00D26166"/>
    <w:rsid w:val="00D26B50"/>
    <w:rsid w:val="00D27745"/>
    <w:rsid w:val="00D310D3"/>
    <w:rsid w:val="00D31107"/>
    <w:rsid w:val="00D3483C"/>
    <w:rsid w:val="00D34A77"/>
    <w:rsid w:val="00D36A34"/>
    <w:rsid w:val="00D36B61"/>
    <w:rsid w:val="00D4031A"/>
    <w:rsid w:val="00D4591F"/>
    <w:rsid w:val="00D45A17"/>
    <w:rsid w:val="00D465AB"/>
    <w:rsid w:val="00D46B84"/>
    <w:rsid w:val="00D47E55"/>
    <w:rsid w:val="00D50A0C"/>
    <w:rsid w:val="00D50CD3"/>
    <w:rsid w:val="00D50DD4"/>
    <w:rsid w:val="00D519B6"/>
    <w:rsid w:val="00D51F6F"/>
    <w:rsid w:val="00D520E3"/>
    <w:rsid w:val="00D54125"/>
    <w:rsid w:val="00D55CD9"/>
    <w:rsid w:val="00D565D3"/>
    <w:rsid w:val="00D56FF9"/>
    <w:rsid w:val="00D60D5C"/>
    <w:rsid w:val="00D61EBB"/>
    <w:rsid w:val="00D61F27"/>
    <w:rsid w:val="00D63007"/>
    <w:rsid w:val="00D6377E"/>
    <w:rsid w:val="00D63EFD"/>
    <w:rsid w:val="00D66E80"/>
    <w:rsid w:val="00D7174C"/>
    <w:rsid w:val="00D72406"/>
    <w:rsid w:val="00D72BD1"/>
    <w:rsid w:val="00D73BC0"/>
    <w:rsid w:val="00D742AB"/>
    <w:rsid w:val="00D75299"/>
    <w:rsid w:val="00D76829"/>
    <w:rsid w:val="00D805B6"/>
    <w:rsid w:val="00D80956"/>
    <w:rsid w:val="00D80AEF"/>
    <w:rsid w:val="00D8173E"/>
    <w:rsid w:val="00D81A09"/>
    <w:rsid w:val="00D82470"/>
    <w:rsid w:val="00D864E1"/>
    <w:rsid w:val="00D90074"/>
    <w:rsid w:val="00D902EA"/>
    <w:rsid w:val="00D905B5"/>
    <w:rsid w:val="00D90F83"/>
    <w:rsid w:val="00D9229D"/>
    <w:rsid w:val="00D946D0"/>
    <w:rsid w:val="00D9538A"/>
    <w:rsid w:val="00D95480"/>
    <w:rsid w:val="00D95D92"/>
    <w:rsid w:val="00D964C1"/>
    <w:rsid w:val="00DA07C7"/>
    <w:rsid w:val="00DA0BB6"/>
    <w:rsid w:val="00DA211F"/>
    <w:rsid w:val="00DA255A"/>
    <w:rsid w:val="00DA2DD5"/>
    <w:rsid w:val="00DA4EA0"/>
    <w:rsid w:val="00DA5B48"/>
    <w:rsid w:val="00DA64E3"/>
    <w:rsid w:val="00DA6C8C"/>
    <w:rsid w:val="00DA7775"/>
    <w:rsid w:val="00DA7B8A"/>
    <w:rsid w:val="00DB0648"/>
    <w:rsid w:val="00DB213C"/>
    <w:rsid w:val="00DB3FAC"/>
    <w:rsid w:val="00DB4D76"/>
    <w:rsid w:val="00DB4ED4"/>
    <w:rsid w:val="00DB63C1"/>
    <w:rsid w:val="00DC09D2"/>
    <w:rsid w:val="00DC09DE"/>
    <w:rsid w:val="00DC1269"/>
    <w:rsid w:val="00DC2350"/>
    <w:rsid w:val="00DC2C43"/>
    <w:rsid w:val="00DC2DF2"/>
    <w:rsid w:val="00DC3635"/>
    <w:rsid w:val="00DC7211"/>
    <w:rsid w:val="00DC7636"/>
    <w:rsid w:val="00DD3757"/>
    <w:rsid w:val="00DD4907"/>
    <w:rsid w:val="00DD682F"/>
    <w:rsid w:val="00DE1E87"/>
    <w:rsid w:val="00DE3991"/>
    <w:rsid w:val="00DE5390"/>
    <w:rsid w:val="00DE6D7B"/>
    <w:rsid w:val="00DE725F"/>
    <w:rsid w:val="00DE79E0"/>
    <w:rsid w:val="00DF0C5C"/>
    <w:rsid w:val="00DF30A7"/>
    <w:rsid w:val="00DF4A1D"/>
    <w:rsid w:val="00DF4DED"/>
    <w:rsid w:val="00DF736E"/>
    <w:rsid w:val="00E0177C"/>
    <w:rsid w:val="00E01A54"/>
    <w:rsid w:val="00E01EB2"/>
    <w:rsid w:val="00E022DF"/>
    <w:rsid w:val="00E0289A"/>
    <w:rsid w:val="00E04C55"/>
    <w:rsid w:val="00E0532F"/>
    <w:rsid w:val="00E062D8"/>
    <w:rsid w:val="00E074A0"/>
    <w:rsid w:val="00E07EA4"/>
    <w:rsid w:val="00E10509"/>
    <w:rsid w:val="00E109BA"/>
    <w:rsid w:val="00E1126F"/>
    <w:rsid w:val="00E139F0"/>
    <w:rsid w:val="00E13B5E"/>
    <w:rsid w:val="00E1676D"/>
    <w:rsid w:val="00E17D92"/>
    <w:rsid w:val="00E2178C"/>
    <w:rsid w:val="00E2611F"/>
    <w:rsid w:val="00E264AA"/>
    <w:rsid w:val="00E27EC0"/>
    <w:rsid w:val="00E30445"/>
    <w:rsid w:val="00E3162D"/>
    <w:rsid w:val="00E3513A"/>
    <w:rsid w:val="00E41697"/>
    <w:rsid w:val="00E42B56"/>
    <w:rsid w:val="00E45B81"/>
    <w:rsid w:val="00E50967"/>
    <w:rsid w:val="00E51781"/>
    <w:rsid w:val="00E51B67"/>
    <w:rsid w:val="00E51EF9"/>
    <w:rsid w:val="00E55241"/>
    <w:rsid w:val="00E56008"/>
    <w:rsid w:val="00E56058"/>
    <w:rsid w:val="00E573F3"/>
    <w:rsid w:val="00E576A7"/>
    <w:rsid w:val="00E61E5C"/>
    <w:rsid w:val="00E61F35"/>
    <w:rsid w:val="00E666D7"/>
    <w:rsid w:val="00E7145B"/>
    <w:rsid w:val="00E72D33"/>
    <w:rsid w:val="00E76912"/>
    <w:rsid w:val="00E76AAA"/>
    <w:rsid w:val="00E82331"/>
    <w:rsid w:val="00E84000"/>
    <w:rsid w:val="00E8474F"/>
    <w:rsid w:val="00E86257"/>
    <w:rsid w:val="00E8632F"/>
    <w:rsid w:val="00E874C5"/>
    <w:rsid w:val="00E879F2"/>
    <w:rsid w:val="00E90D94"/>
    <w:rsid w:val="00E91814"/>
    <w:rsid w:val="00E92AE8"/>
    <w:rsid w:val="00E938B0"/>
    <w:rsid w:val="00E9537C"/>
    <w:rsid w:val="00E9639B"/>
    <w:rsid w:val="00E963BA"/>
    <w:rsid w:val="00E96B4F"/>
    <w:rsid w:val="00E97E12"/>
    <w:rsid w:val="00EA0EB1"/>
    <w:rsid w:val="00EA117D"/>
    <w:rsid w:val="00EA1997"/>
    <w:rsid w:val="00EA1C5C"/>
    <w:rsid w:val="00EA214F"/>
    <w:rsid w:val="00EA22A1"/>
    <w:rsid w:val="00EA26D3"/>
    <w:rsid w:val="00EA42C9"/>
    <w:rsid w:val="00EA78AB"/>
    <w:rsid w:val="00EB6A88"/>
    <w:rsid w:val="00EC0870"/>
    <w:rsid w:val="00EC2C4A"/>
    <w:rsid w:val="00EC59A7"/>
    <w:rsid w:val="00ED04CD"/>
    <w:rsid w:val="00ED1DBB"/>
    <w:rsid w:val="00ED232C"/>
    <w:rsid w:val="00ED262F"/>
    <w:rsid w:val="00ED2CF9"/>
    <w:rsid w:val="00ED42DF"/>
    <w:rsid w:val="00ED5395"/>
    <w:rsid w:val="00ED61E4"/>
    <w:rsid w:val="00ED6BCE"/>
    <w:rsid w:val="00EE05A0"/>
    <w:rsid w:val="00EE1261"/>
    <w:rsid w:val="00EE1375"/>
    <w:rsid w:val="00EE25B7"/>
    <w:rsid w:val="00EE26D9"/>
    <w:rsid w:val="00EE3453"/>
    <w:rsid w:val="00EE3DB9"/>
    <w:rsid w:val="00EE4100"/>
    <w:rsid w:val="00EE6755"/>
    <w:rsid w:val="00EE7DDA"/>
    <w:rsid w:val="00EF15D8"/>
    <w:rsid w:val="00EF247D"/>
    <w:rsid w:val="00EF2EDC"/>
    <w:rsid w:val="00EF404C"/>
    <w:rsid w:val="00EF47EF"/>
    <w:rsid w:val="00EF6A46"/>
    <w:rsid w:val="00EF7360"/>
    <w:rsid w:val="00F0035C"/>
    <w:rsid w:val="00F008B5"/>
    <w:rsid w:val="00F00A9D"/>
    <w:rsid w:val="00F0117A"/>
    <w:rsid w:val="00F01AF6"/>
    <w:rsid w:val="00F04499"/>
    <w:rsid w:val="00F056CB"/>
    <w:rsid w:val="00F078ED"/>
    <w:rsid w:val="00F13B1B"/>
    <w:rsid w:val="00F13FDF"/>
    <w:rsid w:val="00F1527A"/>
    <w:rsid w:val="00F1648B"/>
    <w:rsid w:val="00F20CD9"/>
    <w:rsid w:val="00F2201B"/>
    <w:rsid w:val="00F2224B"/>
    <w:rsid w:val="00F2392F"/>
    <w:rsid w:val="00F23978"/>
    <w:rsid w:val="00F249B5"/>
    <w:rsid w:val="00F2714B"/>
    <w:rsid w:val="00F30648"/>
    <w:rsid w:val="00F30C88"/>
    <w:rsid w:val="00F35E17"/>
    <w:rsid w:val="00F36728"/>
    <w:rsid w:val="00F410E1"/>
    <w:rsid w:val="00F41C3D"/>
    <w:rsid w:val="00F43447"/>
    <w:rsid w:val="00F43928"/>
    <w:rsid w:val="00F45709"/>
    <w:rsid w:val="00F463FF"/>
    <w:rsid w:val="00F47575"/>
    <w:rsid w:val="00F5104E"/>
    <w:rsid w:val="00F514E4"/>
    <w:rsid w:val="00F52AE9"/>
    <w:rsid w:val="00F5304C"/>
    <w:rsid w:val="00F543D1"/>
    <w:rsid w:val="00F5729F"/>
    <w:rsid w:val="00F61F2A"/>
    <w:rsid w:val="00F62C40"/>
    <w:rsid w:val="00F63733"/>
    <w:rsid w:val="00F64FB9"/>
    <w:rsid w:val="00F678B2"/>
    <w:rsid w:val="00F71304"/>
    <w:rsid w:val="00F71735"/>
    <w:rsid w:val="00F75F36"/>
    <w:rsid w:val="00F76884"/>
    <w:rsid w:val="00F76F6D"/>
    <w:rsid w:val="00F77A7B"/>
    <w:rsid w:val="00F80411"/>
    <w:rsid w:val="00F81F9D"/>
    <w:rsid w:val="00F822DA"/>
    <w:rsid w:val="00F83070"/>
    <w:rsid w:val="00F8355F"/>
    <w:rsid w:val="00F836B2"/>
    <w:rsid w:val="00F841DE"/>
    <w:rsid w:val="00F84A64"/>
    <w:rsid w:val="00F85542"/>
    <w:rsid w:val="00F87605"/>
    <w:rsid w:val="00F876B1"/>
    <w:rsid w:val="00F917CD"/>
    <w:rsid w:val="00F91C3E"/>
    <w:rsid w:val="00F95380"/>
    <w:rsid w:val="00F9624E"/>
    <w:rsid w:val="00F97767"/>
    <w:rsid w:val="00FA13FD"/>
    <w:rsid w:val="00FA15DF"/>
    <w:rsid w:val="00FA1EB5"/>
    <w:rsid w:val="00FA34C7"/>
    <w:rsid w:val="00FA4CE3"/>
    <w:rsid w:val="00FA4CED"/>
    <w:rsid w:val="00FA74F7"/>
    <w:rsid w:val="00FA7E17"/>
    <w:rsid w:val="00FA7E38"/>
    <w:rsid w:val="00FB0793"/>
    <w:rsid w:val="00FB7089"/>
    <w:rsid w:val="00FC0215"/>
    <w:rsid w:val="00FC165F"/>
    <w:rsid w:val="00FC4F5C"/>
    <w:rsid w:val="00FC642F"/>
    <w:rsid w:val="00FC6D82"/>
    <w:rsid w:val="00FC6EE7"/>
    <w:rsid w:val="00FD2747"/>
    <w:rsid w:val="00FD30F9"/>
    <w:rsid w:val="00FD4655"/>
    <w:rsid w:val="00FE4500"/>
    <w:rsid w:val="00FE50BD"/>
    <w:rsid w:val="00FE7462"/>
    <w:rsid w:val="00FE77A4"/>
    <w:rsid w:val="00FF0AAC"/>
    <w:rsid w:val="00FF29D1"/>
    <w:rsid w:val="00FF3BAE"/>
    <w:rsid w:val="00FF3E30"/>
    <w:rsid w:val="00FF40F9"/>
    <w:rsid w:val="00FF4299"/>
    <w:rsid w:val="00FF4BA6"/>
    <w:rsid w:val="00FF4F1B"/>
    <w:rsid w:val="00FF5D5A"/>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C341A"/>
  <w15:chartTrackingRefBased/>
  <w15:docId w15:val="{579D3B8D-E099-483B-A072-5FA314C3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42141D"/>
    <w:pPr>
      <w:keepNext/>
      <w:widowControl w:val="0"/>
      <w:ind w:right="301"/>
      <w:outlineLvl w:val="1"/>
    </w:pPr>
    <w:rPr>
      <w:rFonts w:ascii="Arial Bold" w:hAnsi="Arial Bold" w:cs="Arial"/>
      <w:b/>
      <w:smallCap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5">
    <w:name w:val="heading 5"/>
    <w:basedOn w:val="Normal"/>
    <w:next w:val="Normal"/>
    <w:link w:val="Heading5Char"/>
    <w:qFormat/>
    <w:rsid w:val="00663512"/>
    <w:pPr>
      <w:spacing w:before="240" w:after="60"/>
      <w:outlineLvl w:val="4"/>
    </w:pPr>
    <w:rPr>
      <w:rFonts w:cs="Arial"/>
      <w:b/>
      <w:bCs/>
      <w:i/>
      <w:i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link w:val="FooterChar"/>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uiPriority w:val="99"/>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uiPriority w:val="22"/>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42141D"/>
    <w:rPr>
      <w:rFonts w:ascii="Arial Bold" w:hAnsi="Arial Bold" w:cs="Arial"/>
      <w:b/>
      <w:smallCap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customStyle="1" w:styleId="UnresolvedMention1">
    <w:name w:val="Unresolved Mention1"/>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7B3B90"/>
    <w:pPr>
      <w:tabs>
        <w:tab w:val="left" w:pos="660"/>
        <w:tab w:val="right" w:pos="9017"/>
      </w:tabs>
    </w:pPr>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5"/>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qFormat/>
    <w:rsid w:val="00496F19"/>
    <w:pPr>
      <w:ind w:left="720"/>
      <w:contextualSpacing/>
    </w:pPr>
  </w:style>
  <w:style w:type="character" w:customStyle="1" w:styleId="Heading5Char">
    <w:name w:val="Heading 5 Char"/>
    <w:basedOn w:val="DefaultParagraphFont"/>
    <w:link w:val="Heading5"/>
    <w:rsid w:val="00663512"/>
    <w:rPr>
      <w:rFonts w:ascii="Arial" w:hAnsi="Arial" w:cs="Arial"/>
      <w:b/>
      <w:bCs/>
      <w:i/>
      <w:iCs/>
      <w:sz w:val="26"/>
      <w:szCs w:val="26"/>
    </w:rPr>
  </w:style>
  <w:style w:type="paragraph" w:styleId="BodyTextIndent2">
    <w:name w:val="Body Text Indent 2"/>
    <w:basedOn w:val="Normal"/>
    <w:link w:val="BodyTextIndent2Char"/>
    <w:rsid w:val="00663512"/>
    <w:pPr>
      <w:ind w:left="1260"/>
    </w:pPr>
    <w:rPr>
      <w:rFonts w:ascii="Tahoma" w:hAnsi="Tahoma" w:cs="Tahoma"/>
    </w:rPr>
  </w:style>
  <w:style w:type="character" w:customStyle="1" w:styleId="BodyTextIndent2Char">
    <w:name w:val="Body Text Indent 2 Char"/>
    <w:basedOn w:val="DefaultParagraphFont"/>
    <w:link w:val="BodyTextIndent2"/>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7"/>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663512"/>
    <w:pPr>
      <w:numPr>
        <w:numId w:val="0"/>
      </w:numPr>
    </w:pPr>
    <w:rPr>
      <w:b/>
      <w:caps w:val="0"/>
      <w:sz w:val="22"/>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663512"/>
    <w:rPr>
      <w:rFonts w:ascii="Arial Bold" w:hAnsi="Arial Bold"/>
      <w:b/>
      <w:sz w:val="22"/>
      <w:lang w:eastAsia="en-US"/>
    </w:rPr>
  </w:style>
  <w:style w:type="character" w:customStyle="1" w:styleId="StyleRed">
    <w:name w:val="Style Red"/>
    <w:rsid w:val="005A73EF"/>
    <w:rPr>
      <w:rFonts w:ascii="MetaNormalLF-Roman" w:hAnsi="MetaNormalLF-Roman"/>
      <w:color w:val="FF0000"/>
      <w:sz w:val="24"/>
    </w:rPr>
  </w:style>
  <w:style w:type="paragraph" w:customStyle="1" w:styleId="Bullet2">
    <w:name w:val="Bullet 2"/>
    <w:basedOn w:val="Normal"/>
    <w:rsid w:val="00C71D58"/>
    <w:pPr>
      <w:keepLines/>
      <w:numPr>
        <w:numId w:val="11"/>
      </w:numPr>
      <w:spacing w:after="60"/>
    </w:pPr>
    <w:rPr>
      <w:sz w:val="22"/>
      <w:szCs w:val="20"/>
      <w:lang w:val="en-US"/>
    </w:rPr>
  </w:style>
  <w:style w:type="paragraph" w:customStyle="1" w:styleId="Indent2">
    <w:name w:val="Indent 2"/>
    <w:basedOn w:val="Normal"/>
    <w:rsid w:val="004979BB"/>
    <w:pPr>
      <w:keepLines/>
      <w:tabs>
        <w:tab w:val="left" w:pos="1008"/>
      </w:tabs>
      <w:spacing w:after="60"/>
      <w:ind w:left="1008"/>
    </w:pPr>
    <w:rPr>
      <w:sz w:val="22"/>
      <w:szCs w:val="20"/>
      <w:lang w:val="en-US"/>
    </w:rPr>
  </w:style>
  <w:style w:type="character" w:customStyle="1" w:styleId="StyleArialBold">
    <w:name w:val="Style Arial Bold"/>
    <w:rsid w:val="004979BB"/>
    <w:rPr>
      <w:rFonts w:ascii="Arial" w:hAnsi="Arial"/>
      <w:b/>
      <w:bCs/>
    </w:rPr>
  </w:style>
  <w:style w:type="paragraph" w:customStyle="1" w:styleId="Indent3">
    <w:name w:val="Indent 3"/>
    <w:basedOn w:val="Indent2"/>
    <w:rsid w:val="009E0130"/>
    <w:pPr>
      <w:tabs>
        <w:tab w:val="clear" w:pos="1008"/>
        <w:tab w:val="left" w:pos="1872"/>
      </w:tabs>
      <w:ind w:left="1872"/>
    </w:pPr>
  </w:style>
  <w:style w:type="character" w:customStyle="1" w:styleId="FooterChar">
    <w:name w:val="Footer Char"/>
    <w:basedOn w:val="DefaultParagraphFont"/>
    <w:link w:val="Footer"/>
    <w:rsid w:val="00DD4907"/>
    <w:rPr>
      <w:rFonts w:ascii="Arial" w:eastAsia="MS Mincho" w:hAnsi="Arial"/>
      <w:kern w:val="18"/>
      <w:sz w:val="16"/>
      <w:lang w:eastAsia="en-US"/>
    </w:rPr>
  </w:style>
  <w:style w:type="paragraph" w:customStyle="1" w:styleId="Bullet3">
    <w:name w:val="Bullet 3"/>
    <w:basedOn w:val="Bullet2"/>
    <w:rsid w:val="00187F3E"/>
    <w:pPr>
      <w:numPr>
        <w:numId w:val="30"/>
      </w:numPr>
    </w:pPr>
  </w:style>
  <w:style w:type="character" w:styleId="UnresolvedMention">
    <w:name w:val="Unresolved Mention"/>
    <w:basedOn w:val="DefaultParagraphFont"/>
    <w:uiPriority w:val="99"/>
    <w:semiHidden/>
    <w:unhideWhenUsed/>
    <w:rsid w:val="00A57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429351380">
      <w:bodyDiv w:val="1"/>
      <w:marLeft w:val="0"/>
      <w:marRight w:val="0"/>
      <w:marTop w:val="0"/>
      <w:marBottom w:val="0"/>
      <w:divBdr>
        <w:top w:val="none" w:sz="0" w:space="0" w:color="auto"/>
        <w:left w:val="none" w:sz="0" w:space="0" w:color="auto"/>
        <w:bottom w:val="none" w:sz="0" w:space="0" w:color="auto"/>
        <w:right w:val="none" w:sz="0" w:space="0" w:color="auto"/>
      </w:divBdr>
    </w:div>
    <w:div w:id="656030765">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941256907">
      <w:bodyDiv w:val="1"/>
      <w:marLeft w:val="0"/>
      <w:marRight w:val="0"/>
      <w:marTop w:val="0"/>
      <w:marBottom w:val="0"/>
      <w:divBdr>
        <w:top w:val="none" w:sz="0" w:space="0" w:color="auto"/>
        <w:left w:val="none" w:sz="0" w:space="0" w:color="auto"/>
        <w:bottom w:val="none" w:sz="0" w:space="0" w:color="auto"/>
        <w:right w:val="none" w:sz="0" w:space="0" w:color="auto"/>
      </w:divBdr>
    </w:div>
    <w:div w:id="945624235">
      <w:bodyDiv w:val="1"/>
      <w:marLeft w:val="0"/>
      <w:marRight w:val="0"/>
      <w:marTop w:val="0"/>
      <w:marBottom w:val="0"/>
      <w:divBdr>
        <w:top w:val="none" w:sz="0" w:space="0" w:color="auto"/>
        <w:left w:val="none" w:sz="0" w:space="0" w:color="auto"/>
        <w:bottom w:val="none" w:sz="0" w:space="0" w:color="auto"/>
        <w:right w:val="none" w:sz="0" w:space="0" w:color="auto"/>
      </w:divBdr>
    </w:div>
    <w:div w:id="979844731">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79819">
      <w:bodyDiv w:val="1"/>
      <w:marLeft w:val="0"/>
      <w:marRight w:val="0"/>
      <w:marTop w:val="0"/>
      <w:marBottom w:val="0"/>
      <w:divBdr>
        <w:top w:val="none" w:sz="0" w:space="0" w:color="auto"/>
        <w:left w:val="none" w:sz="0" w:space="0" w:color="auto"/>
        <w:bottom w:val="none" w:sz="0" w:space="0" w:color="auto"/>
        <w:right w:val="none" w:sz="0" w:space="0" w:color="auto"/>
      </w:divBdr>
    </w:div>
    <w:div w:id="1687486504">
      <w:bodyDiv w:val="1"/>
      <w:marLeft w:val="0"/>
      <w:marRight w:val="0"/>
      <w:marTop w:val="0"/>
      <w:marBottom w:val="0"/>
      <w:divBdr>
        <w:top w:val="none" w:sz="0" w:space="0" w:color="auto"/>
        <w:left w:val="none" w:sz="0" w:space="0" w:color="auto"/>
        <w:bottom w:val="none" w:sz="0" w:space="0" w:color="auto"/>
        <w:right w:val="none" w:sz="0" w:space="0" w:color="auto"/>
      </w:divBdr>
    </w:div>
    <w:div w:id="197768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news/article/nice-publishes-its-guideline-on-the-diagnosis-and-management-of-abdominal-aortic-aneurysm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guidance/indevelopment/gid-cgwave0769/consultation/html-cont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imperial.ac.uk/clinicalresearchgovernanceoffice" TargetMode="External"/><Relationship Id="rId5" Type="http://schemas.openxmlformats.org/officeDocument/2006/relationships/numbering" Target="numbering.xml"/><Relationship Id="rId15" Type="http://schemas.openxmlformats.org/officeDocument/2006/relationships/hyperlink" Target="mailto:RGIT@imperial.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7D800-A5EB-44C5-8074-7D1538F9523A}">
  <ds:schemaRefs>
    <ds:schemaRef ds:uri="http://schemas.openxmlformats.org/officeDocument/2006/bibliography"/>
  </ds:schemaRefs>
</ds:datastoreItem>
</file>

<file path=customXml/itemProps2.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3.xml><?xml version="1.0" encoding="utf-8"?>
<ds:datastoreItem xmlns:ds="http://schemas.openxmlformats.org/officeDocument/2006/customXml" ds:itemID="{619BADBE-D923-43FC-9A9B-34957B3014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32</Pages>
  <Words>9188</Words>
  <Characters>52373</Characters>
  <Application>Microsoft Office Word</Application>
  <DocSecurity>0</DocSecurity>
  <Lines>436</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61439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NICOLA, Maria (IMPERIAL COLLEGE HEALTHCARE NHS TRUST)</cp:lastModifiedBy>
  <cp:revision>25</cp:revision>
  <cp:lastPrinted>2021-07-21T12:31:00Z</cp:lastPrinted>
  <dcterms:created xsi:type="dcterms:W3CDTF">2021-10-27T13:00:00Z</dcterms:created>
  <dcterms:modified xsi:type="dcterms:W3CDTF">2022-04-07T07:44:00Z</dcterms:modified>
</cp:coreProperties>
</file>